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3680"/>
      </w:tblGrid>
      <w:tr>
        <w:tc>
          <w:tcPr>
            <w:tcW w:type="dxa" w:w="13680"/>
            <w:shd w:val="clear" w:color="auto" w:fill="1B4F8C"/>
            <w:tcBorders>
              <w:top w:val="none"/>
              <w:left w:val="none"/>
              <w:bottom w:val="none"/>
              <w:right w:val="none"/>
              <w:insideH w:val="none"/>
              <w:insideV w:val="none"/>
            </w:tcBorders>
            <w:tcMar>
              <w:top w:w="120" w:type="dxa"/>
              <w:right w:w="200" w:type="dxa"/>
              <w:bottom w:w="120" w:type="dxa"/>
              <w:left w:w="200" w:type="dxa"/>
            </w:tcMar>
          </w:tcPr>
          <w:p>
            <w:pPr>
              <w:spacing w:before="0" w:after="30"/>
            </w:pPr>
            <w:r>
              <w:rPr>
                <w:rFonts w:ascii="Calibri" w:hAnsi="Calibri"/>
                <w:b/>
                <w:i w:val="0"/>
                <w:color w:val="EAF4FB"/>
                <w:sz w:val="18"/>
                <w:u w:val="none"/>
              </w:rPr>
              <w:t>DECISION TREE  •  ART-002</w:t>
            </w:r>
          </w:p>
          <w:p>
            <w:pPr>
              <w:spacing w:before="0" w:after="24"/>
            </w:pPr>
            <w:r>
              <w:rPr>
                <w:rFonts w:ascii="Georgia" w:hAnsi="Georgia"/>
                <w:b/>
                <w:i w:val="0"/>
                <w:color w:val="FFFFFF"/>
                <w:sz w:val="40"/>
                <w:u w:val="none"/>
              </w:rPr>
              <w:t>Pre-Close Inventory Check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i w:val="0"/>
                <w:color w:val="EAF4FB"/>
                <w:sz w:val="20"/>
                <w:u w:val="none"/>
              </w:rPr>
              <w:t>When to abbreviate and when to run full review  •  Completes in under 5 minutes on a normal month</w:t>
            </w:r>
          </w:p>
        </w:tc>
      </w:tr>
    </w:tbl>
    <w:p>
      <w:pPr>
        <w:spacing w:before="0" w:after="0"/>
      </w:pPr>
      <w:r>
        <w:rPr>
          <w:sz w:val="16"/>
        </w:rPr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2E9CCA"/>
          <w:left w:val="single" w:sz="6" w:space="0" w:color="2E9CCA"/>
          <w:bottom w:val="single" w:sz="6" w:space="0" w:color="2E9CCA"/>
          <w:right w:val="single" w:sz="6" w:space="0" w:color="2E9CCA"/>
          <w:insideH w:val="none"/>
          <w:insideV w:val="none"/>
        </w:tblBorders>
      </w:tblPr>
      <w:tblGrid>
        <w:gridCol w:w="13680"/>
      </w:tblGrid>
      <w:tr>
        <w:tc>
          <w:tcPr>
            <w:tcW w:type="dxa" w:w="13680"/>
            <w:shd w:val="clear" w:color="auto" w:fill="EAF4FB"/>
            <w:tcBorders>
              <w:top w:val="none"/>
              <w:left w:val="none"/>
              <w:bottom w:val="none"/>
              <w:right w:val="none"/>
              <w:insideH w:val="none"/>
              <w:insideV w:val="none"/>
            </w:tcBorders>
            <w:tcMar>
              <w:top w:w="80" w:type="dxa"/>
              <w:right w:w="160" w:type="dxa"/>
              <w:bottom w:w="80" w:type="dxa"/>
              <w:left w:w="160" w:type="dxa"/>
            </w:tcMar>
          </w:tcPr>
          <w:p>
            <w:pPr>
              <w:spacing w:before="0" w:after="24"/>
            </w:pPr>
            <w:r>
              <w:rPr>
                <w:rFonts w:ascii="Georgia" w:hAnsi="Georgia"/>
                <w:b/>
                <w:i w:val="0"/>
                <w:color w:val="1B4F8C"/>
                <w:sz w:val="22"/>
                <w:u w:val="none"/>
              </w:rPr>
              <w:t>START HERE  —  DECISION NODE 1</w:t>
            </w:r>
          </w:p>
          <w:p>
            <w:pPr>
              <w:spacing w:before="0" w:after="20"/>
            </w:pPr>
            <w:r>
              <w:rPr>
                <w:rFonts w:ascii="Calibri" w:hAnsi="Calibri"/>
                <w:b w:val="0"/>
                <w:i w:val="0"/>
                <w:color w:val="1A1A1A"/>
                <w:sz w:val="20"/>
                <w:u w:val="none"/>
              </w:rPr>
              <w:t>Open the D365 inventory indicator. What does it show?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i/>
                <w:color w:val="2E9CCA"/>
                <w:sz w:val="18"/>
                <w:u w:val="none"/>
              </w:rPr>
              <w:t>⚠  SME SESSION REQUIRED (q-001): Exact D365 field/screen name and the label text for each state as it appears in the system.</w:t>
            </w:r>
          </w:p>
        </w:tc>
      </w:tr>
    </w:tbl>
    <w:p>
      <w:pPr>
        <w:spacing w:before="0" w:after="0"/>
      </w:pPr>
      <w:r>
        <w:rPr>
          <w:sz w:val="12"/>
        </w:rPr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4560"/>
        <w:gridCol w:w="4560"/>
        <w:gridCol w:w="4560"/>
      </w:tblGrid>
      <w:tr>
        <w:tc>
          <w:tcPr>
            <w:tcW w:type="dxa" w:w="4560"/>
            <w:shd w:val="clear" w:color="auto" w:fill="D4EDD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tcMar>
              <w:top w:w="80" w:type="dxa"/>
              <w:right w:w="120" w:type="dxa"/>
              <w:bottom w:w="80" w:type="dxa"/>
              <w:left w:w="120" w:type="dxa"/>
            </w:tcMar>
            <w:vAlign w:val="top"/>
          </w:tcPr>
          <w:p>
            <w:pPr>
              <w:spacing w:before="0" w:after="20"/>
            </w:pPr>
            <w:r>
              <w:rPr>
                <w:rFonts w:ascii="Georgia" w:hAnsi="Georgia"/>
                <w:b/>
                <w:i w:val="0"/>
                <w:color w:val="155724"/>
                <w:sz w:val="22"/>
                <w:u w:val="none"/>
              </w:rPr>
              <w:t>BRANCH A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i w:val="0"/>
                <w:color w:val="1A1A1A"/>
                <w:sz w:val="20"/>
                <w:u w:val="none"/>
              </w:rPr>
              <w:t>“Nothing changed” state confirmed in indicator</w:t>
            </w:r>
          </w:p>
        </w:tc>
        <w:tc>
          <w:tcPr>
            <w:tcW w:type="dxa" w:w="4560"/>
            <w:shd w:val="clear" w:color="auto" w:fill="FFF3CD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tcMar>
              <w:top w:w="80" w:type="dxa"/>
              <w:right w:w="120" w:type="dxa"/>
              <w:bottom w:w="80" w:type="dxa"/>
              <w:left w:w="120" w:type="dxa"/>
            </w:tcMar>
            <w:vAlign w:val="top"/>
          </w:tcPr>
          <w:p>
            <w:pPr>
              <w:spacing w:before="0" w:after="20"/>
            </w:pPr>
            <w:r>
              <w:rPr>
                <w:rFonts w:ascii="Georgia" w:hAnsi="Georgia"/>
                <w:b/>
                <w:i w:val="0"/>
                <w:color w:val="856404"/>
                <w:sz w:val="22"/>
                <w:u w:val="none"/>
              </w:rPr>
              <w:t>BRANCH B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i w:val="0"/>
                <w:color w:val="1A1A1A"/>
                <w:sz w:val="20"/>
                <w:u w:val="none"/>
              </w:rPr>
              <w:t>Changed or ambiguous state shown in indicator</w:t>
            </w:r>
          </w:p>
        </w:tc>
        <w:tc>
          <w:tcPr>
            <w:tcW w:type="dxa" w:w="4560"/>
            <w:shd w:val="clear" w:color="auto" w:fill="FFF3CD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tcMar>
              <w:top w:w="80" w:type="dxa"/>
              <w:right w:w="120" w:type="dxa"/>
              <w:bottom w:w="80" w:type="dxa"/>
              <w:left w:w="120" w:type="dxa"/>
            </w:tcMar>
            <w:vAlign w:val="top"/>
          </w:tcPr>
          <w:p>
            <w:pPr>
              <w:spacing w:before="0" w:after="20"/>
            </w:pPr>
            <w:r>
              <w:rPr>
                <w:rFonts w:ascii="Georgia" w:hAnsi="Georgia"/>
                <w:b/>
                <w:i w:val="0"/>
                <w:color w:val="856404"/>
                <w:sz w:val="22"/>
                <w:u w:val="none"/>
              </w:rPr>
              <w:t>BRANCH C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i w:val="0"/>
                <w:color w:val="1A1A1A"/>
                <w:sz w:val="20"/>
                <w:u w:val="none"/>
              </w:rPr>
              <w:t>Indicator is missing or inaccessible</w:t>
            </w:r>
          </w:p>
        </w:tc>
      </w:tr>
      <w:tr>
        <w:tc>
          <w:tcPr>
            <w:tcW w:type="dxa" w:w="4560"/>
            <w:shd w:val="clear" w:color="auto" w:fill="FFFFFF"/>
            <w:tcBorders>
              <w:top w:val="none"/>
              <w:left w:val="none"/>
              <w:bottom w:val="none"/>
              <w:right w:val="none"/>
              <w:insideH w:val="none"/>
              <w:insideV w:val="none"/>
            </w:tcBorders>
            <w:tcMar>
              <w:top w:w="30" w:type="dxa"/>
              <w:right w:w="80" w:type="dxa"/>
              <w:bottom w:w="30" w:type="dxa"/>
              <w:left w:w="80" w:type="dxa"/>
            </w:tcMar>
          </w:tcPr>
          <w:p>
            <w:pPr>
              <w:jc w:val="center"/>
              <w:spacing w:before="0" w:after="0"/>
            </w:pPr>
            <w:r>
              <w:rPr>
                <w:rFonts w:ascii="Calibri" w:hAnsi="Calibri"/>
                <w:b/>
                <w:i w:val="0"/>
                <w:color w:val="1B4F8C"/>
                <w:sz w:val="26"/>
                <w:u w:val="none"/>
              </w:rPr>
              <w:t>↓</w:t>
            </w:r>
          </w:p>
        </w:tc>
        <w:tc>
          <w:tcPr>
            <w:tcW w:type="dxa" w:w="4560"/>
            <w:shd w:val="clear" w:color="auto" w:fill="FFFFFF"/>
            <w:tcBorders>
              <w:top w:val="none"/>
              <w:left w:val="none"/>
              <w:bottom w:val="none"/>
              <w:right w:val="none"/>
              <w:insideH w:val="none"/>
              <w:insideV w:val="none"/>
            </w:tcBorders>
            <w:tcMar>
              <w:top w:w="30" w:type="dxa"/>
              <w:right w:w="80" w:type="dxa"/>
              <w:bottom w:w="30" w:type="dxa"/>
              <w:left w:w="80" w:type="dxa"/>
            </w:tcMar>
          </w:tcPr>
          <w:p>
            <w:pPr>
              <w:jc w:val="center"/>
              <w:spacing w:before="0" w:after="0"/>
            </w:pPr>
            <w:r>
              <w:rPr>
                <w:rFonts w:ascii="Calibri" w:hAnsi="Calibri"/>
                <w:b/>
                <w:i w:val="0"/>
                <w:color w:val="1B4F8C"/>
                <w:sz w:val="26"/>
                <w:u w:val="none"/>
              </w:rPr>
              <w:t>↓</w:t>
            </w:r>
          </w:p>
        </w:tc>
        <w:tc>
          <w:tcPr>
            <w:tcW w:type="dxa" w:w="4560"/>
            <w:shd w:val="clear" w:color="auto" w:fill="FFFFFF"/>
            <w:tcBorders>
              <w:top w:val="none"/>
              <w:left w:val="none"/>
              <w:bottom w:val="none"/>
              <w:right w:val="none"/>
              <w:insideH w:val="none"/>
              <w:insideV w:val="none"/>
            </w:tcBorders>
            <w:tcMar>
              <w:top w:w="30" w:type="dxa"/>
              <w:right w:w="80" w:type="dxa"/>
              <w:bottom w:w="30" w:type="dxa"/>
              <w:left w:w="80" w:type="dxa"/>
            </w:tcMar>
          </w:tcPr>
          <w:p>
            <w:pPr>
              <w:jc w:val="center"/>
              <w:spacing w:before="0" w:after="0"/>
            </w:pPr>
            <w:r>
              <w:rPr>
                <w:rFonts w:ascii="Calibri" w:hAnsi="Calibri"/>
                <w:b/>
                <w:i w:val="0"/>
                <w:color w:val="1B4F8C"/>
                <w:sz w:val="26"/>
                <w:u w:val="none"/>
              </w:rPr>
              <w:t>↓  (treat as Branch B)</w:t>
            </w:r>
          </w:p>
        </w:tc>
      </w:tr>
      <w:tr>
        <w:tc>
          <w:tcPr>
            <w:tcW w:type="dxa" w:w="4560"/>
            <w:shd w:val="clear" w:color="auto" w:fill="D4EDD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tcMar>
              <w:top w:w="100" w:type="dxa"/>
              <w:right w:w="120" w:type="dxa"/>
              <w:bottom w:w="100" w:type="dxa"/>
              <w:left w:w="120" w:type="dxa"/>
            </w:tcMar>
            <w:vAlign w:val="top"/>
          </w:tcPr>
          <w:p>
            <w:pPr>
              <w:spacing w:before="0" w:after="16"/>
            </w:pPr>
            <w:r>
              <w:rPr>
                <w:rFonts w:ascii="Calibri" w:hAnsi="Calibri"/>
                <w:b/>
                <w:i w:val="0"/>
                <w:color w:val="155724"/>
                <w:sz w:val="18"/>
                <w:u w:val="none"/>
              </w:rPr>
              <w:t>[PROCEED]</w:t>
            </w:r>
          </w:p>
          <w:p>
            <w:pPr>
              <w:spacing w:before="0" w:after="16"/>
            </w:pPr>
            <w:r>
              <w:rPr>
                <w:rFonts w:ascii="Georgia" w:hAnsi="Georgia"/>
                <w:b/>
                <w:i w:val="0"/>
                <w:color w:val="155724"/>
                <w:sz w:val="21"/>
                <w:u w:val="none"/>
              </w:rPr>
              <w:t>PATH 4a — ABBREVIATED CHECK</w:t>
            </w:r>
          </w:p>
          <w:p>
            <w:pPr>
              <w:spacing w:before="0" w:after="4"/>
            </w:pPr>
            <w:r>
              <w:rPr>
                <w:rFonts w:ascii="Calibri" w:hAnsi="Calibri"/>
                <w:b w:val="0"/>
                <w:i w:val="0"/>
                <w:color w:val="1A1A1A"/>
                <w:sz w:val="19"/>
                <w:u w:val="none"/>
              </w:rPr>
              <w:t>Confirm the abbreviated check action per q-001.</w:t>
            </w:r>
          </w:p>
          <w:p>
            <w:pPr>
              <w:spacing w:before="0" w:after="4"/>
            </w:pPr>
            <w:r>
              <w:rPr>
                <w:rFonts w:ascii="Calibri" w:hAnsi="Calibri"/>
                <w:b w:val="0"/>
                <w:i w:val="0"/>
                <w:color w:val="1A1A1A"/>
                <w:sz w:val="19"/>
                <w:u w:val="none"/>
              </w:rPr>
              <w:t>Mark checklist item complete.</w:t>
            </w:r>
          </w:p>
          <w:p>
            <w:pPr>
              <w:spacing w:before="0" w:after="4"/>
            </w:pPr>
            <w:r>
              <w:rPr>
                <w:rFonts w:ascii="Calibri" w:hAnsi="Calibri"/>
                <w:b w:val="0"/>
                <w:i w:val="0"/>
                <w:color w:val="1A1A1A"/>
                <w:sz w:val="19"/>
                <w:u w:val="none"/>
              </w:rPr>
              <w:t>Estimated time: under 5 minutes.</w:t>
            </w:r>
          </w:p>
        </w:tc>
        <w:tc>
          <w:tcPr>
            <w:tcW w:type="dxa" w:w="4560"/>
            <w:shd w:val="clear" w:color="auto" w:fill="FFF3CD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tcMar>
              <w:top w:w="100" w:type="dxa"/>
              <w:right w:w="120" w:type="dxa"/>
              <w:bottom w:w="100" w:type="dxa"/>
              <w:left w:w="120" w:type="dxa"/>
            </w:tcMar>
            <w:vAlign w:val="top"/>
          </w:tcPr>
          <w:p>
            <w:pPr>
              <w:spacing w:before="0" w:after="16"/>
            </w:pPr>
            <w:r>
              <w:rPr>
                <w:rFonts w:ascii="Calibri" w:hAnsi="Calibri"/>
                <w:b/>
                <w:i w:val="0"/>
                <w:color w:val="856404"/>
                <w:sz w:val="18"/>
                <w:u w:val="none"/>
              </w:rPr>
              <w:t>[PROCEED only after completion]</w:t>
            </w:r>
          </w:p>
          <w:p>
            <w:pPr>
              <w:spacing w:before="0" w:after="16"/>
            </w:pPr>
            <w:r>
              <w:rPr>
                <w:rFonts w:ascii="Georgia" w:hAnsi="Georgia"/>
                <w:b/>
                <w:i w:val="0"/>
                <w:color w:val="856404"/>
                <w:sz w:val="21"/>
                <w:u w:val="none"/>
              </w:rPr>
              <w:t>PATH 4b — FULL CHECK REQUIRED</w:t>
            </w:r>
          </w:p>
          <w:p>
            <w:pPr>
              <w:spacing w:before="0" w:after="4"/>
            </w:pPr>
            <w:r>
              <w:rPr>
                <w:rFonts w:ascii="Calibri" w:hAnsi="Calibri"/>
                <w:b w:val="0"/>
                <w:i w:val="0"/>
                <w:color w:val="1A1A1A"/>
                <w:sz w:val="19"/>
                <w:u w:val="none"/>
              </w:rPr>
              <w:t>Run full inventory review per q-001 steps.</w:t>
            </w:r>
          </w:p>
          <w:p>
            <w:pPr>
              <w:spacing w:before="0" w:after="4"/>
            </w:pPr>
            <w:r>
              <w:rPr>
                <w:rFonts w:ascii="Calibri" w:hAnsi="Calibri"/>
                <w:b w:val="0"/>
                <w:i w:val="0"/>
                <w:color w:val="856404"/>
                <w:sz w:val="20"/>
                <w:u w:val="none"/>
              </w:rPr>
              <w:t xml:space="preserve">└─ </w:t>
            </w:r>
            <w:r>
              <w:rPr>
                <w:rFonts w:ascii="Calibri" w:hAnsi="Calibri"/>
                <w:b w:val="0"/>
                <w:i w:val="0"/>
                <w:color w:val="1A1A1A"/>
                <w:sz w:val="19"/>
                <w:u w:val="none"/>
              </w:rPr>
              <w:t>follow ART-013 and ART-014.</w:t>
            </w:r>
          </w:p>
          <w:p>
            <w:pPr>
              <w:spacing w:before="0" w:after="4"/>
            </w:pPr>
            <w:r>
              <w:rPr>
                <w:rFonts w:ascii="Calibri" w:hAnsi="Calibri"/>
                <w:b w:val="0"/>
                <w:i w:val="0"/>
                <w:color w:val="1A1A1A"/>
                <w:sz w:val="19"/>
                <w:u w:val="none"/>
              </w:rPr>
              <w:t>Mark complete only when variance is resolved or formally documented.</w:t>
            </w:r>
          </w:p>
        </w:tc>
        <w:tc>
          <w:tcPr>
            <w:tcW w:type="dxa" w:w="4560"/>
            <w:shd w:val="clear" w:color="auto" w:fill="FFF3CD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tcMar>
              <w:top w:w="100" w:type="dxa"/>
              <w:right w:w="120" w:type="dxa"/>
              <w:bottom w:w="100" w:type="dxa"/>
              <w:left w:w="120" w:type="dxa"/>
            </w:tcMar>
            <w:vAlign w:val="top"/>
          </w:tcPr>
          <w:p>
            <w:pPr>
              <w:spacing w:before="0" w:after="16"/>
            </w:pPr>
            <w:r>
              <w:rPr>
                <w:rFonts w:ascii="Calibri" w:hAnsi="Calibri"/>
                <w:b/>
                <w:i w:val="0"/>
                <w:color w:val="856404"/>
                <w:sz w:val="18"/>
                <w:u w:val="none"/>
              </w:rPr>
              <w:t>[PROCEED only after completion]</w:t>
            </w:r>
          </w:p>
          <w:p>
            <w:pPr>
              <w:spacing w:before="0" w:after="16"/>
            </w:pPr>
            <w:r>
              <w:rPr>
                <w:rFonts w:ascii="Georgia" w:hAnsi="Georgia"/>
                <w:b/>
                <w:i w:val="0"/>
                <w:color w:val="856404"/>
                <w:sz w:val="21"/>
                <w:u w:val="none"/>
              </w:rPr>
              <w:t>PATH 4b — FULL CHECK REQUIRED</w:t>
            </w:r>
          </w:p>
          <w:p>
            <w:pPr>
              <w:spacing w:before="0" w:after="4"/>
            </w:pPr>
            <w:r>
              <w:rPr>
                <w:rFonts w:ascii="Calibri" w:hAnsi="Calibri"/>
                <w:b w:val="0"/>
                <w:i w:val="0"/>
                <w:color w:val="1A1A1A"/>
                <w:sz w:val="19"/>
                <w:u w:val="none"/>
              </w:rPr>
              <w:t>Note in checklist: “Indicator unavailable — full check performed.”</w:t>
            </w:r>
          </w:p>
          <w:p>
            <w:pPr>
              <w:spacing w:before="0" w:after="4"/>
            </w:pPr>
            <w:r>
              <w:rPr>
                <w:rFonts w:ascii="Calibri" w:hAnsi="Calibri"/>
                <w:b w:val="0"/>
                <w:i w:val="0"/>
                <w:color w:val="1A1A1A"/>
                <w:sz w:val="19"/>
                <w:u w:val="none"/>
              </w:rPr>
              <w:t>Notify stakeholder contact (BEM flag 2).</w:t>
            </w:r>
          </w:p>
          <w:p>
            <w:pPr>
              <w:spacing w:before="0" w:after="4"/>
            </w:pPr>
            <w:r>
              <w:rPr>
                <w:rFonts w:ascii="Calibri" w:hAnsi="Calibri"/>
                <w:b w:val="0"/>
                <w:i w:val="0"/>
                <w:color w:val="1A1A1A"/>
                <w:sz w:val="19"/>
                <w:u w:val="none"/>
              </w:rPr>
              <w:t>Then follow Path 4b steps.</w:t>
            </w:r>
          </w:p>
        </w:tc>
      </w:tr>
    </w:tbl>
    <w:p>
      <w:pPr>
        <w:spacing w:before="0" w:after="0"/>
      </w:pPr>
      <w:r>
        <w:rPr>
          <w:sz w:val="16"/>
        </w:rPr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1B4F8C"/>
          <w:left w:val="single" w:sz="6" w:space="0" w:color="1B4F8C"/>
          <w:bottom w:val="single" w:sz="6" w:space="0" w:color="1B4F8C"/>
          <w:right w:val="single" w:sz="6" w:space="0" w:color="1B4F8C"/>
          <w:insideH w:val="none"/>
          <w:insideV w:val="none"/>
        </w:tblBorders>
      </w:tblPr>
      <w:tblGrid>
        <w:gridCol w:w="13680"/>
      </w:tblGrid>
      <w:tr>
        <w:tc>
          <w:tcPr>
            <w:tcW w:type="dxa" w:w="13680"/>
            <w:shd w:val="clear" w:color="auto" w:fill="EAF4FB"/>
            <w:tcBorders>
              <w:top w:val="none"/>
              <w:left w:val="none"/>
              <w:bottom w:val="none"/>
              <w:right w:val="none"/>
              <w:insideH w:val="none"/>
              <w:insideV w:val="none"/>
            </w:tcBorders>
            <w:tcMar>
              <w:top w:w="100" w:type="dxa"/>
              <w:right w:w="180" w:type="dxa"/>
              <w:bottom w:w="100" w:type="dxa"/>
              <w:left w:w="180" w:type="dxa"/>
            </w:tcMar>
          </w:tcPr>
          <w:p>
            <w:pPr>
              <w:spacing w:before="0" w:after="30"/>
            </w:pPr>
            <w:r>
              <w:rPr>
                <w:rFonts w:ascii="Georgia" w:hAnsi="Georgia"/>
                <w:b/>
                <w:i w:val="0"/>
                <w:color w:val="1B4F8C"/>
                <w:sz w:val="22"/>
                <w:u w:val="none"/>
              </w:rPr>
              <w:t>WORKED EXAMPLES</w:t>
            </w:r>
          </w:p>
          <w:p>
            <w:pPr>
              <w:spacing w:before="0" w:after="8"/>
            </w:pPr>
            <w:r>
              <w:rPr>
                <w:rFonts w:ascii="Calibri" w:hAnsi="Calibri"/>
                <w:b/>
                <w:i w:val="0"/>
                <w:color w:val="1A1A1A"/>
                <w:sz w:val="20"/>
                <w:u w:val="none"/>
              </w:rPr>
              <w:t>Example 1 — Normal month: Abbreviation safe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i/>
                <w:color w:val="595959"/>
                <w:sz w:val="19"/>
                <w:u w:val="none"/>
              </w:rPr>
              <w:t>⚠  Indicator state, action taken, and result to be confirmed with Maria in q-001 session.</w:t>
            </w:r>
          </w:p>
          <w:p>
            <w:pPr>
              <w:spacing w:before="24" w:after="8"/>
            </w:pPr>
            <w:r>
              <w:rPr>
                <w:rFonts w:ascii="Calibri" w:hAnsi="Calibri"/>
                <w:b/>
                <w:i w:val="0"/>
                <w:color w:val="1A1A1A"/>
                <w:sz w:val="20"/>
                <w:u w:val="none"/>
              </w:rPr>
              <w:t>Example 2 — Month where full check was required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i/>
                <w:color w:val="595959"/>
                <w:sz w:val="19"/>
                <w:u w:val="none"/>
              </w:rPr>
              <w:t>⚠  Indicator state, action taken, finding, and outcome to be confirmed with Maria in q-001 session.</w:t>
            </w:r>
          </w:p>
        </w:tc>
      </w:tr>
    </w:tbl>
    <w:p>
      <w:pPr>
        <w:spacing w:before="0" w:after="0"/>
      </w:pPr>
      <w:r>
        <w:rPr>
          <w:sz w:val="12"/>
        </w:rPr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3680"/>
      </w:tblGrid>
      <w:tr>
        <w:tc>
          <w:tcPr>
            <w:tcW w:type="dxa" w:w="13680"/>
            <w:shd w:val="clear" w:color="auto" w:fill="F2F2F2"/>
            <w:tcBorders>
              <w:top w:val="none"/>
              <w:left w:val="none"/>
              <w:bottom w:val="none"/>
              <w:right w:val="none"/>
              <w:insideH w:val="none"/>
              <w:insideV w:val="none"/>
            </w:tcBorders>
            <w:tcBorders>
              <w:top w:val="none"/>
              <w:right w:val="none"/>
              <w:bottom w:val="none"/>
              <w:left w:val="single" w:sz="18" w:space="0" w:color="2E9CCA"/>
            </w:tcBorders>
            <w:tcMar>
              <w:top w:w="80" w:type="dxa"/>
              <w:right w:w="140" w:type="dxa"/>
              <w:bottom w:w="80" w:type="dxa"/>
              <w:left w:w="160" w:type="dxa"/>
            </w:tcMar>
          </w:tcPr>
          <w:p>
            <w:pPr>
              <w:spacing w:before="0" w:after="24"/>
            </w:pPr>
            <w:r>
              <w:rPr>
                <w:rFonts w:ascii="Calibri" w:hAnsi="Calibri"/>
                <w:b/>
                <w:i w:val="0"/>
                <w:color w:val="2E9CCA"/>
                <w:sz w:val="18"/>
                <w:u w:val="none"/>
              </w:rPr>
              <w:t>⚠  REVIEWER NOTE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i/>
                <w:color w:val="595959"/>
                <w:sz w:val="19"/>
                <w:u w:val="none"/>
              </w:rPr>
              <w:t>All INSERT fields and worked example content require the q-001 SME session. Tree structure, path names, and outcome labels are finalized.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864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  <w:spacing w:before="0" w:after="0"/>
    </w:pPr>
    <w:r>
      <w:rPr>
        <w:rFonts w:ascii="Calibri" w:hAnsi="Calibri"/>
        <w:color w:val="595959"/>
        <w:sz w:val="16"/>
      </w:rPr>
      <w:t>ART-002  •  Pre-Close Inventory Check  •  Blue Edgewater Consulting  •  CoBuild v1.0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