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Borders>
          <w:top w:val="none"/>
          <w:left w:val="none"/>
          <w:bottom w:val="none"/>
          <w:right w:val="none"/>
          <w:insideH w:val="none"/>
          <w:insideV w:val="none"/>
        </w:tblBorders>
      </w:tblPr>
      <w:tblGrid>
        <w:gridCol w:w="9360"/>
      </w:tblGrid>
      <w:tr>
        <w:tc>
          <w:tcPr>
            <w:tcW w:type="dxa" w:w="9360"/>
            <w:shd w:val="clear" w:color="auto" w:fill="1B4F8C"/>
            <w:tcBorders>
              <w:top w:val="none"/>
              <w:left w:val="none"/>
              <w:bottom w:val="none"/>
              <w:right w:val="none"/>
              <w:insideH w:val="none"/>
              <w:insideV w:val="none"/>
            </w:tcBorders>
            <w:tcMar>
              <w:top w:w="120" w:type="dxa"/>
              <w:right w:w="200" w:type="dxa"/>
              <w:bottom w:w="120" w:type="dxa"/>
              <w:left w:w="200" w:type="dxa"/>
            </w:tcMar>
          </w:tcPr>
          <w:p>
            <w:pPr>
              <w:spacing w:before="0" w:after="30"/>
            </w:pPr>
            <w:r>
              <w:rPr>
                <w:rFonts w:ascii="Calibri" w:hAnsi="Calibri"/>
                <w:b/>
                <w:i w:val="0"/>
                <w:color w:val="EAF4FB"/>
                <w:sz w:val="18"/>
                <w:u w:val="none"/>
              </w:rPr>
              <w:t>SCENARIO  •  ART-007  •  Two-Page</w:t>
            </w:r>
          </w:p>
          <w:p>
            <w:pPr>
              <w:spacing w:before="0" w:after="24"/>
            </w:pPr>
            <w:r>
              <w:rPr>
                <w:rFonts w:ascii="Georgia" w:hAnsi="Georgia"/>
                <w:b/>
                <w:i w:val="0"/>
                <w:color w:val="FFFFFF"/>
                <w:sz w:val="40"/>
                <w:u w:val="none"/>
              </w:rPr>
              <w:t>Unresolvable Reconciling Item</w:t>
            </w:r>
          </w:p>
          <w:p>
            <w:pPr>
              <w:spacing w:before="0" w:after="0"/>
            </w:pPr>
            <w:r>
              <w:rPr>
                <w:rFonts w:ascii="Calibri" w:hAnsi="Calibri"/>
                <w:b w:val="0"/>
                <w:i w:val="0"/>
                <w:color w:val="EAF4FB"/>
                <w:sz w:val="20"/>
                <w:u w:val="none"/>
              </w:rPr>
              <w:t>What to do when close won’t close clean</w:t>
            </w:r>
          </w:p>
        </w:tc>
      </w:tr>
    </w:tbl>
    <w:p>
      <w:pPr>
        <w:spacing w:before="0" w:after="0"/>
      </w:pPr>
      <w:r>
        <w:rPr>
          <w:sz w:val="16"/>
        </w:rPr>
      </w:r>
    </w:p>
    <w:p>
      <w:pPr>
        <w:spacing w:before="60" w:after="60"/>
      </w:pPr>
      <w:r>
        <w:rPr>
          <w:rFonts w:ascii="Georgia" w:hAnsi="Georgia"/>
          <w:b/>
          <w:i w:val="0"/>
          <w:color w:val="1B4F8C"/>
          <w:sz w:val="22"/>
          <w:u w:val="none"/>
        </w:rPr>
        <w:t>PAGE 1 — COPING MODEL &amp; SCENARIO CONTEXT</w:t>
      </w:r>
    </w:p>
    <w:tbl>
      <w:tblPr>
        <w:tblW w:type="auto" w:w="0"/>
        <w:tblLook w:firstColumn="1" w:firstRow="1" w:lastColumn="0" w:lastRow="0" w:noHBand="0" w:noVBand="1" w:val="04A0"/>
        <w:tblBorders>
          <w:top w:val="single" w:sz="8" w:space="0" w:color="2E9CCA"/>
          <w:left w:val="single" w:sz="8" w:space="0" w:color="2E9CCA"/>
          <w:bottom w:val="single" w:sz="8" w:space="0" w:color="2E9CCA"/>
          <w:right w:val="single" w:sz="8" w:space="0" w:color="2E9CCA"/>
          <w:insideH w:val="none"/>
          <w:insideV w:val="none"/>
        </w:tblBorders>
      </w:tblPr>
      <w:tblGrid>
        <w:gridCol w:w="9360"/>
      </w:tblGrid>
      <w:tr>
        <w:tc>
          <w:tcPr>
            <w:tcW w:type="dxa" w:w="9360"/>
            <w:shd w:val="clear" w:color="auto" w:fill="EAF4FB"/>
            <w:tcBorders>
              <w:top w:val="none"/>
              <w:left w:val="none"/>
              <w:bottom w:val="none"/>
              <w:right w:val="none"/>
              <w:insideH w:val="none"/>
              <w:insideV w:val="none"/>
            </w:tcBorders>
            <w:tcMar>
              <w:top w:w="120" w:type="dxa"/>
              <w:right w:w="160" w:type="dxa"/>
              <w:bottom w:w="120" w:type="dxa"/>
              <w:left w:w="160" w:type="dxa"/>
            </w:tcMar>
          </w:tcPr>
          <w:p>
            <w:pPr>
              <w:spacing w:before="0" w:after="0"/>
            </w:pPr>
            <w:r>
              <w:rPr>
                <w:rFonts w:ascii="Calibri" w:hAnsi="Calibri"/>
                <w:b w:val="0"/>
                <w:i w:val="0"/>
                <w:color w:val="1A1A1A"/>
                <w:sz w:val="21"/>
                <w:u w:val="none"/>
              </w:rPr>
              <w:t>Here is what an experienced close manager does when they hit day six with an unresolved reconciliation item. This situation is not a failure — it happens several times a year, and there is a right way to handle it. Maria has done this. You will do it too.</w:t>
              <w:br/>
              <w:br/>
              <w:t>The goal is to make the right call with confidence and communicate it clearly to the controller. Being in this situation is not the problem. Making an unauthorized decision, or failing to communicate it clearly, is the problem.</w:t>
            </w:r>
          </w:p>
        </w:tc>
      </w:tr>
    </w:tbl>
    <w:p>
      <w:pPr>
        <w:spacing w:before="0" w:after="0"/>
      </w:pPr>
      <w:r>
        <w:rPr>
          <w:sz w:val="16"/>
        </w:rPr>
      </w:r>
    </w:p>
    <w:p>
      <w:pPr>
        <w:spacing w:before="60" w:after="40"/>
      </w:pPr>
      <w:r>
        <w:rPr>
          <w:rFonts w:ascii="Georgia" w:hAnsi="Georgia"/>
          <w:b/>
          <w:i w:val="0"/>
          <w:color w:val="1B4F8C"/>
          <w:sz w:val="22"/>
          <w:u w:val="none"/>
        </w:rPr>
        <w:t>Scenario Context</w:t>
      </w:r>
    </w:p>
    <w:tbl>
      <w:tblPr>
        <w:tblW w:type="auto" w:w="0"/>
        <w:tblLook w:firstColumn="1" w:firstRow="1" w:lastColumn="0" w:lastRow="0" w:noHBand="0" w:noVBand="1" w:val="04A0"/>
        <w:tblBorders>
          <w:top w:val="none"/>
          <w:left w:val="none"/>
          <w:bottom w:val="none"/>
          <w:right w:val="none"/>
          <w:insideH w:val="none"/>
          <w:insideV w:val="none"/>
        </w:tblBorders>
      </w:tblPr>
      <w:tblGrid>
        <w:gridCol w:w="9360"/>
      </w:tblGrid>
      <w:tr>
        <w:tc>
          <w:tcPr>
            <w:tcW w:type="dxa" w:w="9360"/>
            <w:shd w:val="clear" w:color="auto" w:fill="F2F2F2"/>
            <w:tcBorders>
              <w:top w:val="none"/>
              <w:left w:val="none"/>
              <w:bottom w:val="none"/>
              <w:right w:val="none"/>
              <w:insideH w:val="none"/>
              <w:insideV w:val="none"/>
            </w:tcBorders>
            <w:tcBorders>
              <w:top w:val="none"/>
              <w:right w:val="none"/>
              <w:bottom w:val="none"/>
              <w:left w:val="single" w:sz="18" w:space="0" w:color="2E9CCA"/>
            </w:tcBorders>
            <w:tcMar>
              <w:top w:w="100" w:type="dxa"/>
              <w:right w:w="140" w:type="dxa"/>
              <w:bottom w:w="100" w:type="dxa"/>
              <w:left w:w="160" w:type="dxa"/>
            </w:tcMar>
          </w:tcPr>
          <w:p>
            <w:pPr>
              <w:spacing w:before="0" w:after="24"/>
            </w:pPr>
            <w:r>
              <w:rPr>
                <w:rFonts w:ascii="Calibri" w:hAnsi="Calibri"/>
                <w:b/>
                <w:i w:val="0"/>
                <w:color w:val="2E9CCA"/>
                <w:sz w:val="18"/>
                <w:u w:val="none"/>
              </w:rPr>
              <w:t>⚠  SME SESSION REQUIRED (q-007)</w:t>
            </w:r>
          </w:p>
          <w:p>
            <w:pPr>
              <w:spacing w:before="0" w:after="28"/>
            </w:pPr>
            <w:r>
              <w:rPr>
                <w:rFonts w:ascii="Calibri" w:hAnsi="Calibri"/>
                <w:b w:val="0"/>
                <w:i/>
                <w:color w:val="595959"/>
                <w:sz w:val="19"/>
                <w:u w:val="none"/>
              </w:rPr>
              <w:t>Maria must describe the last time she closed a period with an unresolved reconciling item. Required: which sub-ledger, approximate difference amount, day of close it surfaced, investigation steps taken, resolution options, and what she ultimately decided. Written as a second-person narrative: “It’s day [X] of close. The [sub-ledger] reconciliation has a [$] difference...”</w:t>
            </w:r>
          </w:p>
          <w:p>
            <w:pPr>
              <w:spacing w:before="0" w:after="0"/>
            </w:pPr>
            <w:r>
              <w:rPr>
                <w:rFonts w:ascii="Calibri" w:hAnsi="Calibri"/>
                <w:b w:val="0"/>
                <w:i w:val="0"/>
                <w:color w:val="1A1A1A"/>
                <w:sz w:val="20"/>
                <w:u w:val="none"/>
              </w:rPr>
              <w:t>[Scenario narrative to be written here from q-007 session output.]</w:t>
            </w:r>
          </w:p>
        </w:tc>
      </w:tr>
    </w:tbl>
    <w:p>
      <w:pPr>
        <w:spacing w:before="0" w:after="0"/>
      </w:pPr>
      <w:r>
        <w:rPr>
          <w:sz w:val="16"/>
        </w:rPr>
      </w:r>
    </w:p>
    <w:p>
      <w:pPr>
        <w:spacing w:before="60" w:after="40"/>
      </w:pPr>
      <w:r>
        <w:rPr>
          <w:rFonts w:ascii="Georgia" w:hAnsi="Georgia"/>
          <w:b/>
          <w:i w:val="0"/>
          <w:color w:val="1B4F8C"/>
          <w:sz w:val="22"/>
          <w:u w:val="none"/>
        </w:rPr>
        <w:t>Before You Decide Anything — Confirm These Three Things</w:t>
      </w:r>
    </w:p>
    <w:p>
      <w:pPr>
        <w:jc w:val="left"/>
        <w:spacing w:before="0" w:after="60"/>
      </w:pPr>
      <w:r>
        <w:rPr>
          <w:rFonts w:ascii="Calibri" w:hAnsi="Calibri"/>
          <w:b w:val="0"/>
          <w:i/>
          <w:color w:val="1A1A1A"/>
          <w:sz w:val="20"/>
          <w:u w:val="none"/>
        </w:rPr>
        <w:t>Work through this checklist before taking any action.</w:t>
      </w:r>
    </w:p>
    <w:p>
      <w:pPr>
        <w:spacing w:before="16" w:after="8"/>
        <w:ind w:left="180" w:hanging="180"/>
      </w:pPr>
      <w:r>
        <w:rPr>
          <w:rFonts w:ascii="Calibri" w:hAnsi="Calibri"/>
          <w:b/>
          <w:i w:val="0"/>
          <w:color w:val="1B4F8C"/>
          <w:sz w:val="20"/>
          <w:u w:val="none"/>
        </w:rPr>
        <w:t xml:space="preserve">☐  1.  </w:t>
      </w:r>
      <w:r>
        <w:rPr>
          <w:rFonts w:ascii="Calibri" w:hAnsi="Calibri"/>
          <w:b w:val="0"/>
          <w:i w:val="0"/>
          <w:color w:val="1A1A1A"/>
          <w:sz w:val="20"/>
          <w:u w:val="none"/>
        </w:rPr>
        <w:t>I have documented what I investigated and what I found.</w:t>
      </w:r>
    </w:p>
    <w:p>
      <w:pPr>
        <w:spacing w:before="0" w:after="14"/>
        <w:ind w:left="400"/>
      </w:pPr>
      <w:r>
        <w:rPr>
          <w:rFonts w:ascii="Calibri" w:hAnsi="Calibri"/>
          <w:b w:val="0"/>
          <w:i/>
          <w:color w:val="595959"/>
          <w:sz w:val="19"/>
          <w:u w:val="none"/>
        </w:rPr>
        <w:t>If you have not written it down, write it down now — before continuing.</w:t>
      </w:r>
    </w:p>
    <w:p>
      <w:pPr>
        <w:spacing w:before="16" w:after="8"/>
        <w:ind w:left="180" w:hanging="180"/>
      </w:pPr>
      <w:r>
        <w:rPr>
          <w:rFonts w:ascii="Calibri" w:hAnsi="Calibri"/>
          <w:b/>
          <w:i w:val="0"/>
          <w:color w:val="1B4F8C"/>
          <w:sz w:val="20"/>
          <w:u w:val="none"/>
        </w:rPr>
        <w:t xml:space="preserve">☐  2.  </w:t>
      </w:r>
      <w:r>
        <w:rPr>
          <w:rFonts w:ascii="Calibri" w:hAnsi="Calibri"/>
          <w:b w:val="0"/>
          <w:i w:val="0"/>
          <w:color w:val="1A1A1A"/>
          <w:sz w:val="20"/>
          <w:u w:val="none"/>
        </w:rPr>
        <w:t>I know the dollar amount and which sub-ledger is affected.</w:t>
      </w:r>
    </w:p>
    <w:p>
      <w:pPr>
        <w:spacing w:before="0" w:after="14"/>
        <w:ind w:left="400"/>
      </w:pPr>
      <w:r>
        <w:rPr>
          <w:rFonts w:ascii="Calibri" w:hAnsi="Calibri"/>
          <w:b w:val="0"/>
          <w:i/>
          <w:color w:val="595959"/>
          <w:sz w:val="19"/>
          <w:u w:val="none"/>
        </w:rPr>
        <w:t>Both must be specific. “Approximate” is not enough.</w:t>
      </w:r>
    </w:p>
    <w:p>
      <w:pPr>
        <w:spacing w:before="16" w:after="8"/>
        <w:ind w:left="180" w:hanging="180"/>
      </w:pPr>
      <w:r>
        <w:rPr>
          <w:rFonts w:ascii="Calibri" w:hAnsi="Calibri"/>
          <w:b/>
          <w:i w:val="0"/>
          <w:color w:val="1B4F8C"/>
          <w:sz w:val="20"/>
          <w:u w:val="none"/>
        </w:rPr>
        <w:t xml:space="preserve">☐  3.  </w:t>
      </w:r>
      <w:r>
        <w:rPr>
          <w:rFonts w:ascii="Calibri" w:hAnsi="Calibri"/>
          <w:b w:val="0"/>
          <w:i w:val="0"/>
          <w:color w:val="1A1A1A"/>
          <w:sz w:val="20"/>
          <w:u w:val="none"/>
        </w:rPr>
        <w:t>I know whether this difference is timing-based or unexplained.</w:t>
      </w:r>
    </w:p>
    <w:p>
      <w:pPr>
        <w:spacing w:before="0" w:after="14"/>
        <w:ind w:left="400"/>
      </w:pPr>
      <w:r>
        <w:rPr>
          <w:rFonts w:ascii="Calibri" w:hAnsi="Calibri"/>
          <w:b w:val="0"/>
          <w:i/>
          <w:color w:val="595959"/>
          <w:sz w:val="19"/>
          <w:u w:val="none"/>
        </w:rPr>
        <w:t>Timing-based → return to ART-006 now. Unexplained or uncertain → continue to Page 2.</w:t>
      </w:r>
    </w:p>
    <w:p>
      <w:r>
        <w:br w:type="page"/>
      </w:r>
    </w:p>
    <w:p>
      <w:pPr>
        <w:spacing w:before="0" w:after="60"/>
      </w:pPr>
      <w:r>
        <w:rPr>
          <w:rFonts w:ascii="Georgia" w:hAnsi="Georgia"/>
          <w:b/>
          <w:i w:val="0"/>
          <w:color w:val="1B4F8C"/>
          <w:sz w:val="22"/>
          <w:u w:val="none"/>
        </w:rPr>
        <w:t>PAGE 2 — DECISION BRANCH &amp; COMMUNICATION TEMPLATE</w:t>
      </w:r>
    </w:p>
    <w:p>
      <w:pPr>
        <w:jc w:val="left"/>
        <w:spacing w:before="0" w:after="80"/>
      </w:pPr>
      <w:r>
        <w:rPr>
          <w:rFonts w:ascii="Calibri" w:hAnsi="Calibri"/>
          <w:b w:val="0"/>
          <w:i w:val="0"/>
          <w:color w:val="1A1A1A"/>
          <w:sz w:val="20"/>
          <w:u w:val="none"/>
        </w:rPr>
        <w:t>You have confirmed the difference is real, documented your investigation, and determined it cannot be resolved before the close deadline. Now choose the correct path.</w:t>
      </w:r>
    </w:p>
    <w:tbl>
      <w:tblPr>
        <w:tblW w:type="auto" w:w="0"/>
        <w:tblLook w:firstColumn="1" w:firstRow="1" w:lastColumn="0" w:lastRow="0" w:noHBand="0" w:noVBand="1" w:val="04A0"/>
        <w:tblBorders>
          <w:top w:val="single" w:sz="4" w:space="0" w:color="BBBBBB"/>
          <w:left w:val="single" w:sz="4" w:space="0" w:color="BBBBBB"/>
          <w:bottom w:val="single" w:sz="4" w:space="0" w:color="BBBBBB"/>
          <w:right w:val="single" w:sz="4" w:space="0" w:color="BBBBBB"/>
          <w:insideH w:val="none"/>
          <w:insideV w:val="none"/>
        </w:tblBorders>
      </w:tblPr>
      <w:tblGrid>
        <w:gridCol w:w="9360"/>
      </w:tblGrid>
      <w:tr>
        <w:tc>
          <w:tcPr>
            <w:tcW w:type="dxa" w:w="9360"/>
            <w:shd w:val="clear" w:color="auto" w:fill="FFF3CD"/>
            <w:tcBorders>
              <w:top w:val="none"/>
              <w:left w:val="none"/>
              <w:bottom w:val="none"/>
              <w:right w:val="none"/>
              <w:insideH w:val="none"/>
              <w:insideV w:val="none"/>
            </w:tcBorders>
            <w:tcMar>
              <w:top w:w="100" w:type="dxa"/>
              <w:right w:w="140" w:type="dxa"/>
              <w:bottom w:w="100" w:type="dxa"/>
              <w:left w:w="140" w:type="dxa"/>
            </w:tcMar>
          </w:tcPr>
          <w:p>
            <w:pPr>
              <w:spacing w:before="0" w:after="20"/>
            </w:pPr>
            <w:r>
              <w:rPr>
                <w:rFonts w:ascii="Georgia" w:hAnsi="Georgia"/>
                <w:b/>
                <w:i w:val="0"/>
                <w:color w:val="856404"/>
                <w:sz w:val="24"/>
                <w:u w:val="none"/>
              </w:rPr>
              <w:t xml:space="preserve">PATH A  —  </w:t>
            </w:r>
            <w:r>
              <w:rPr>
                <w:rFonts w:ascii="Georgia" w:hAnsi="Georgia"/>
                <w:b/>
                <w:i w:val="0"/>
                <w:color w:val="856404"/>
                <w:sz w:val="24"/>
                <w:u w:val="none"/>
              </w:rPr>
              <w:t>Hold the Period Open / Extend On Hold</w:t>
            </w:r>
          </w:p>
          <w:p>
            <w:pPr>
              <w:spacing w:before="8" w:after="0"/>
            </w:pPr>
            <w:r>
              <w:rPr>
                <w:rFonts w:ascii="Calibri" w:hAnsi="Calibri"/>
                <w:b/>
                <w:i w:val="0"/>
                <w:color w:val="1A1A1A"/>
                <w:sz w:val="20"/>
                <w:u w:val="none"/>
              </w:rPr>
              <w:t xml:space="preserve">When to use:  </w:t>
            </w:r>
            <w:r>
              <w:rPr>
                <w:rFonts w:ascii="Calibri" w:hAnsi="Calibri"/>
                <w:b w:val="0"/>
                <w:i/>
                <w:color w:val="595959"/>
                <w:sz w:val="20"/>
                <w:u w:val="none"/>
              </w:rPr>
              <w:t>[q-007: conditions Maria uses to decide to hold the period]</w:t>
            </w:r>
          </w:p>
          <w:p>
            <w:pPr>
              <w:spacing w:before="8" w:after="0"/>
            </w:pPr>
            <w:r>
              <w:rPr>
                <w:rFonts w:ascii="Calibri" w:hAnsi="Calibri"/>
                <w:b/>
                <w:i w:val="0"/>
                <w:color w:val="1A1A1A"/>
                <w:sz w:val="20"/>
                <w:u w:val="none"/>
              </w:rPr>
              <w:t xml:space="preserve">Who authorizes:  </w:t>
            </w:r>
            <w:r>
              <w:rPr>
                <w:rFonts w:ascii="Calibri" w:hAnsi="Calibri"/>
                <w:b w:val="0"/>
                <w:i/>
                <w:color w:val="595959"/>
                <w:sz w:val="20"/>
                <w:u w:val="none"/>
              </w:rPr>
              <w:t>[q-007: does Maria decide independently or does the controller authorize?]</w:t>
            </w:r>
          </w:p>
          <w:p>
            <w:pPr>
              <w:spacing w:before="8" w:after="0"/>
            </w:pPr>
            <w:r>
              <w:rPr>
                <w:rFonts w:ascii="Calibri" w:hAnsi="Calibri"/>
                <w:b/>
                <w:i w:val="0"/>
                <w:color w:val="1A1A1A"/>
                <w:sz w:val="20"/>
                <w:u w:val="none"/>
              </w:rPr>
              <w:t xml:space="preserve">What to document:  </w:t>
            </w:r>
            <w:r>
              <w:rPr>
                <w:rFonts w:ascii="Calibri" w:hAnsi="Calibri"/>
                <w:b w:val="0"/>
                <w:i/>
                <w:color w:val="595959"/>
                <w:sz w:val="20"/>
                <w:u w:val="none"/>
              </w:rPr>
              <w:t>[q-007: what Maria records when choosing Path A]</w:t>
            </w:r>
          </w:p>
        </w:tc>
      </w:tr>
    </w:tbl>
    <w:p>
      <w:pPr>
        <w:spacing w:before="0" w:after="0"/>
      </w:pPr>
      <w:r>
        <w:rPr>
          <w:sz w:val="12"/>
        </w:rPr>
      </w:r>
    </w:p>
    <w:tbl>
      <w:tblPr>
        <w:tblW w:type="auto" w:w="0"/>
        <w:tblLook w:firstColumn="1" w:firstRow="1" w:lastColumn="0" w:lastRow="0" w:noHBand="0" w:noVBand="1" w:val="04A0"/>
        <w:tblBorders>
          <w:top w:val="single" w:sz="4" w:space="0" w:color="BBBBBB"/>
          <w:left w:val="single" w:sz="4" w:space="0" w:color="BBBBBB"/>
          <w:bottom w:val="single" w:sz="4" w:space="0" w:color="BBBBBB"/>
          <w:right w:val="single" w:sz="4" w:space="0" w:color="BBBBBB"/>
          <w:insideH w:val="none"/>
          <w:insideV w:val="none"/>
        </w:tblBorders>
      </w:tblPr>
      <w:tblGrid>
        <w:gridCol w:w="9360"/>
      </w:tblGrid>
      <w:tr>
        <w:tc>
          <w:tcPr>
            <w:tcW w:type="dxa" w:w="9360"/>
            <w:shd w:val="clear" w:color="auto" w:fill="D4EDDA"/>
            <w:tcBorders>
              <w:top w:val="none"/>
              <w:left w:val="none"/>
              <w:bottom w:val="none"/>
              <w:right w:val="none"/>
              <w:insideH w:val="none"/>
              <w:insideV w:val="none"/>
            </w:tcBorders>
            <w:tcMar>
              <w:top w:w="100" w:type="dxa"/>
              <w:right w:w="140" w:type="dxa"/>
              <w:bottom w:w="100" w:type="dxa"/>
              <w:left w:w="140" w:type="dxa"/>
            </w:tcMar>
          </w:tcPr>
          <w:p>
            <w:pPr>
              <w:spacing w:before="0" w:after="20"/>
            </w:pPr>
            <w:r>
              <w:rPr>
                <w:rFonts w:ascii="Georgia" w:hAnsi="Georgia"/>
                <w:b/>
                <w:i w:val="0"/>
                <w:color w:val="155724"/>
                <w:sz w:val="24"/>
                <w:u w:val="none"/>
              </w:rPr>
              <w:t xml:space="preserve">PATH B  —  </w:t>
            </w:r>
            <w:r>
              <w:rPr>
                <w:rFonts w:ascii="Georgia" w:hAnsi="Georgia"/>
                <w:b/>
                <w:i w:val="0"/>
                <w:color w:val="155724"/>
                <w:sz w:val="24"/>
                <w:u w:val="none"/>
              </w:rPr>
              <w:t>Close with a Known Reconciling Item</w:t>
            </w:r>
          </w:p>
          <w:p>
            <w:pPr>
              <w:spacing w:before="8" w:after="0"/>
            </w:pPr>
            <w:r>
              <w:rPr>
                <w:rFonts w:ascii="Calibri" w:hAnsi="Calibri"/>
                <w:b/>
                <w:i w:val="0"/>
                <w:color w:val="1A1A1A"/>
                <w:sz w:val="20"/>
                <w:u w:val="none"/>
              </w:rPr>
              <w:t xml:space="preserve">When to use:  </w:t>
            </w:r>
            <w:r>
              <w:rPr>
                <w:rFonts w:ascii="Calibri" w:hAnsi="Calibri"/>
                <w:b w:val="0"/>
                <w:i/>
                <w:color w:val="595959"/>
                <w:sz w:val="20"/>
                <w:u w:val="none"/>
              </w:rPr>
              <w:t>[q-007: conditions under which Maria closes with a known item]</w:t>
            </w:r>
          </w:p>
          <w:p>
            <w:pPr>
              <w:spacing w:before="8" w:after="0"/>
            </w:pPr>
            <w:r>
              <w:rPr>
                <w:rFonts w:ascii="Calibri" w:hAnsi="Calibri"/>
                <w:b/>
                <w:i w:val="0"/>
                <w:color w:val="1A1A1A"/>
                <w:sz w:val="20"/>
                <w:u w:val="none"/>
              </w:rPr>
              <w:t xml:space="preserve">Documentation required:  </w:t>
            </w:r>
            <w:r>
              <w:rPr>
                <w:rFonts w:ascii="Calibri" w:hAnsi="Calibri"/>
                <w:b w:val="0"/>
                <w:i/>
                <w:color w:val="595959"/>
                <w:sz w:val="20"/>
                <w:u w:val="none"/>
              </w:rPr>
              <w:t>[q-007: where, what content, what format — exact requirements]</w:t>
            </w:r>
          </w:p>
          <w:p>
            <w:pPr>
              <w:spacing w:before="8" w:after="0"/>
            </w:pPr>
            <w:r>
              <w:rPr>
                <w:rFonts w:ascii="Calibri" w:hAnsi="Calibri"/>
                <w:b/>
                <w:i w:val="0"/>
                <w:color w:val="1A1A1A"/>
                <w:sz w:val="20"/>
                <w:u w:val="none"/>
              </w:rPr>
              <w:t xml:space="preserve">Who must approve:  </w:t>
            </w:r>
            <w:r>
              <w:rPr>
                <w:rFonts w:ascii="Calibri" w:hAnsi="Calibri"/>
                <w:b w:val="0"/>
                <w:i/>
                <w:color w:val="595959"/>
                <w:sz w:val="20"/>
                <w:u w:val="none"/>
              </w:rPr>
              <w:t>[q-007: controller sign-off required, or Maria’s independent judgment?]</w:t>
            </w:r>
          </w:p>
        </w:tc>
      </w:tr>
    </w:tbl>
    <w:p>
      <w:pPr>
        <w:spacing w:before="0" w:after="0"/>
      </w:pPr>
      <w:r>
        <w:rPr>
          <w:sz w:val="12"/>
        </w:rPr>
      </w:r>
    </w:p>
    <w:tbl>
      <w:tblPr>
        <w:tblW w:type="auto" w:w="0"/>
        <w:tblLook w:firstColumn="1" w:firstRow="1" w:lastColumn="0" w:lastRow="0" w:noHBand="0" w:noVBand="1" w:val="04A0"/>
        <w:tblBorders>
          <w:top w:val="single" w:sz="4" w:space="0" w:color="BBBBBB"/>
          <w:left w:val="single" w:sz="4" w:space="0" w:color="BBBBBB"/>
          <w:bottom w:val="single" w:sz="4" w:space="0" w:color="BBBBBB"/>
          <w:right w:val="single" w:sz="4" w:space="0" w:color="BBBBBB"/>
          <w:insideH w:val="none"/>
          <w:insideV w:val="none"/>
        </w:tblBorders>
      </w:tblPr>
      <w:tblGrid>
        <w:gridCol w:w="9360"/>
      </w:tblGrid>
      <w:tr>
        <w:tc>
          <w:tcPr>
            <w:tcW w:type="dxa" w:w="9360"/>
            <w:shd w:val="clear" w:color="auto" w:fill="F8D7DA"/>
            <w:tcBorders>
              <w:top w:val="none"/>
              <w:left w:val="none"/>
              <w:bottom w:val="none"/>
              <w:right w:val="none"/>
              <w:insideH w:val="none"/>
              <w:insideV w:val="none"/>
            </w:tcBorders>
            <w:tcMar>
              <w:top w:w="100" w:type="dxa"/>
              <w:right w:w="140" w:type="dxa"/>
              <w:bottom w:w="100" w:type="dxa"/>
              <w:left w:w="140" w:type="dxa"/>
            </w:tcMar>
          </w:tcPr>
          <w:p>
            <w:pPr>
              <w:spacing w:before="0" w:after="20"/>
            </w:pPr>
            <w:r>
              <w:rPr>
                <w:rFonts w:ascii="Georgia" w:hAnsi="Georgia"/>
                <w:b/>
                <w:i w:val="0"/>
                <w:color w:val="721C24"/>
                <w:sz w:val="24"/>
                <w:u w:val="none"/>
              </w:rPr>
              <w:t xml:space="preserve">PATH C  —  </w:t>
            </w:r>
            <w:r>
              <w:rPr>
                <w:rFonts w:ascii="Georgia" w:hAnsi="Georgia"/>
                <w:b/>
                <w:i w:val="0"/>
                <w:color w:val="721C24"/>
                <w:sz w:val="24"/>
                <w:u w:val="none"/>
              </w:rPr>
              <w:t>Escalate to Controller for Decision</w:t>
            </w:r>
          </w:p>
          <w:p>
            <w:pPr>
              <w:spacing w:before="8" w:after="0"/>
            </w:pPr>
            <w:r>
              <w:rPr>
                <w:rFonts w:ascii="Calibri" w:hAnsi="Calibri"/>
                <w:b/>
                <w:i w:val="0"/>
                <w:color w:val="1A1A1A"/>
                <w:sz w:val="20"/>
                <w:u w:val="none"/>
              </w:rPr>
              <w:t xml:space="preserve">When to use:  </w:t>
            </w:r>
            <w:r>
              <w:rPr>
                <w:rFonts w:ascii="Calibri" w:hAnsi="Calibri"/>
                <w:b w:val="0"/>
                <w:i/>
                <w:color w:val="595959"/>
                <w:sz w:val="20"/>
                <w:u w:val="none"/>
              </w:rPr>
              <w:t>[q-007: when Maria escalates rather than decides independently]</w:t>
            </w:r>
          </w:p>
          <w:p>
            <w:pPr>
              <w:spacing w:before="8" w:after="0"/>
            </w:pPr>
            <w:r>
              <w:rPr>
                <w:rFonts w:ascii="Calibri" w:hAnsi="Calibri"/>
                <w:b/>
                <w:i w:val="0"/>
                <w:color w:val="1A1A1A"/>
                <w:sz w:val="20"/>
                <w:u w:val="none"/>
              </w:rPr>
              <w:t xml:space="preserve">What to bring:  </w:t>
            </w:r>
            <w:r>
              <w:rPr>
                <w:rFonts w:ascii="Calibri" w:hAnsi="Calibri"/>
                <w:b w:val="0"/>
                <w:i w:val="0"/>
                <w:color w:val="1A1A1A"/>
                <w:sz w:val="20"/>
                <w:u w:val="none"/>
              </w:rPr>
              <w:t>Use the Controller Communication Template below.</w:t>
            </w:r>
          </w:p>
        </w:tc>
      </w:tr>
    </w:tbl>
    <w:p>
      <w:pPr>
        <w:spacing w:before="0" w:after="0"/>
      </w:pPr>
      <w:r>
        <w:rPr>
          <w:sz w:val="12"/>
        </w:rPr>
      </w:r>
    </w:p>
    <w:p>
      <w:pPr>
        <w:spacing w:before="60" w:after="40"/>
      </w:pPr>
      <w:r>
        <w:rPr>
          <w:rFonts w:ascii="Georgia" w:hAnsi="Georgia"/>
          <w:b/>
          <w:i w:val="0"/>
          <w:color w:val="1B4F8C"/>
          <w:sz w:val="22"/>
          <w:u w:val="none"/>
        </w:rPr>
        <w:t>Controller Communication Template</w:t>
      </w:r>
    </w:p>
    <w:p>
      <w:pPr>
        <w:jc w:val="left"/>
        <w:spacing w:before="0" w:after="60"/>
      </w:pPr>
      <w:r>
        <w:rPr>
          <w:rFonts w:ascii="Calibri" w:hAnsi="Calibri"/>
          <w:b w:val="0"/>
          <w:i/>
          <w:color w:val="1A1A1A"/>
          <w:sz w:val="20"/>
          <w:u w:val="none"/>
        </w:rPr>
        <w:t>Use this template when executing Path C, or any time you are uncertain.</w:t>
      </w:r>
    </w:p>
    <w:tbl>
      <w:tblPr>
        <w:tblW w:type="auto" w:w="0"/>
        <w:tblLook w:firstColumn="1" w:firstRow="1" w:lastColumn="0" w:lastRow="0" w:noHBand="0" w:noVBand="1" w:val="04A0"/>
        <w:tblBorders>
          <w:top w:val="single" w:sz="8" w:space="0" w:color="1B4F8C"/>
          <w:left w:val="single" w:sz="8" w:space="0" w:color="1B4F8C"/>
          <w:bottom w:val="single" w:sz="8" w:space="0" w:color="1B4F8C"/>
          <w:right w:val="single" w:sz="8" w:space="0" w:color="1B4F8C"/>
          <w:insideH w:val="none"/>
          <w:insideV w:val="none"/>
        </w:tblBorders>
      </w:tblPr>
      <w:tblGrid>
        <w:gridCol w:w="9360"/>
      </w:tblGrid>
      <w:tr>
        <w:tc>
          <w:tcPr>
            <w:tcW w:type="dxa" w:w="9360"/>
            <w:shd w:val="clear" w:color="auto" w:fill="1B4F8C"/>
            <w:tcBorders>
              <w:top w:val="none"/>
              <w:left w:val="none"/>
              <w:bottom w:val="none"/>
              <w:right w:val="none"/>
              <w:insideH w:val="none"/>
              <w:insideV w:val="none"/>
            </w:tcBorders>
            <w:tcMar>
              <w:top w:w="60" w:type="dxa"/>
              <w:right w:w="160" w:type="dxa"/>
              <w:bottom w:w="60" w:type="dxa"/>
              <w:left w:w="160" w:type="dxa"/>
            </w:tcMar>
          </w:tcPr>
          <w:p>
            <w:pPr>
              <w:spacing w:before="0" w:after="0"/>
            </w:pPr>
            <w:r>
              <w:rPr>
                <w:rFonts w:ascii="Georgia" w:hAnsi="Georgia"/>
                <w:b/>
                <w:i w:val="0"/>
                <w:color w:val="FFFFFF"/>
                <w:sz w:val="20"/>
                <w:u w:val="none"/>
              </w:rPr>
              <w:t>CONTROLLER COMMUNICATION — Unresolved Reconciling Item</w:t>
            </w:r>
          </w:p>
        </w:tc>
      </w:tr>
      <w:tr>
        <w:tc>
          <w:tcPr>
            <w:tcW w:type="dxa" w:w="9360"/>
            <w:shd w:val="clear" w:color="auto" w:fill="FFFFFF"/>
            <w:tcBorders>
              <w:top w:val="none"/>
              <w:left w:val="none"/>
              <w:bottom w:val="none"/>
              <w:right w:val="none"/>
              <w:insideH w:val="none"/>
              <w:insideV w:val="none"/>
            </w:tcBorders>
            <w:tcMar>
              <w:top w:w="120" w:type="dxa"/>
              <w:right w:w="180" w:type="dxa"/>
              <w:bottom w:w="120" w:type="dxa"/>
              <w:left w:w="180" w:type="dxa"/>
            </w:tcMar>
          </w:tcPr>
          <w:p>
            <w:pPr>
              <w:spacing w:before="0" w:after="0"/>
            </w:pPr>
            <w:r>
              <w:rPr>
                <w:rFonts w:ascii="Calibri" w:hAnsi="Calibri"/>
                <w:b w:val="0"/>
                <w:i w:val="0"/>
                <w:color w:val="1A1A1A"/>
                <w:sz w:val="20"/>
                <w:u w:val="none"/>
              </w:rPr>
              <w:t>“I have an unresolved item in the [sub-ledger name] reconciliation.”</w:t>
            </w:r>
          </w:p>
          <w:p>
            <w:pPr>
              <w:spacing w:before="0" w:after="0"/>
            </w:pPr>
          </w:p>
          <w:p>
            <w:pPr>
              <w:spacing w:before="0" w:after="0"/>
            </w:pPr>
            <w:r>
              <w:rPr>
                <w:rFonts w:ascii="Calibri" w:hAnsi="Calibri"/>
                <w:b w:val="0"/>
                <w:i w:val="0"/>
                <w:color w:val="1A1A1A"/>
                <w:sz w:val="20"/>
                <w:u w:val="none"/>
              </w:rPr>
              <w:t>“The difference is [$amount]. I have investigated [list each step taken].”</w:t>
            </w:r>
          </w:p>
          <w:p>
            <w:pPr>
              <w:spacing w:before="0" w:after="0"/>
            </w:pPr>
          </w:p>
          <w:p>
            <w:pPr>
              <w:spacing w:before="0" w:after="0"/>
            </w:pPr>
            <w:r>
              <w:rPr>
                <w:rFonts w:ascii="Calibri" w:hAnsi="Calibri"/>
                <w:b w:val="0"/>
                <w:i w:val="0"/>
                <w:color w:val="1A1A1A"/>
                <w:sz w:val="20"/>
                <w:u w:val="none"/>
              </w:rPr>
              <w:t>“I believe the cause is [your best explanation, or ‘unknown at this time’].”</w:t>
            </w:r>
          </w:p>
          <w:p>
            <w:pPr>
              <w:spacing w:before="0" w:after="0"/>
            </w:pPr>
          </w:p>
          <w:p>
            <w:pPr>
              <w:spacing w:before="0" w:after="0"/>
            </w:pPr>
            <w:r>
              <w:rPr>
                <w:rFonts w:ascii="Calibri" w:hAnsi="Calibri"/>
                <w:b w:val="0"/>
                <w:i w:val="0"/>
                <w:color w:val="1A1A1A"/>
                <w:sz w:val="20"/>
                <w:u w:val="none"/>
              </w:rPr>
              <w:t>“My recommendation is [Path A: hold open  •  Path B: close with known item  •  I need your guidance].”</w:t>
            </w:r>
          </w:p>
          <w:p>
            <w:pPr>
              <w:spacing w:before="0" w:after="0"/>
            </w:pPr>
          </w:p>
          <w:p>
            <w:pPr>
              <w:spacing w:before="0" w:after="0"/>
            </w:pPr>
            <w:r>
              <w:rPr>
                <w:rFonts w:ascii="Calibri" w:hAnsi="Calibri"/>
                <w:b w:val="0"/>
                <w:i w:val="0"/>
                <w:color w:val="1A1A1A"/>
                <w:sz w:val="20"/>
                <w:u w:val="none"/>
              </w:rPr>
              <w:t>“If we proceed with Path B, the documentation I will prepare is [memo, D365 notes, email].”</w:t>
            </w:r>
          </w:p>
          <w:p>
            <w:pPr>
              <w:spacing w:before="0" w:after="0"/>
            </w:pPr>
          </w:p>
          <w:p>
            <w:pPr>
              <w:spacing w:before="0" w:after="0"/>
            </w:pPr>
            <w:r>
              <w:rPr>
                <w:rFonts w:ascii="Calibri" w:hAnsi="Calibri"/>
                <w:b w:val="0"/>
                <w:i w:val="0"/>
                <w:color w:val="1A1A1A"/>
                <w:sz w:val="20"/>
                <w:u w:val="none"/>
              </w:rPr>
              <w:t>“I need a decision by [time] to meet the [reporting deadline].”</w:t>
            </w:r>
          </w:p>
        </w:tc>
      </w:tr>
    </w:tbl>
    <w:p>
      <w:pPr>
        <w:spacing w:before="0" w:after="0"/>
      </w:pPr>
      <w:r>
        <w:rPr>
          <w:sz w:val="16"/>
        </w:rPr>
      </w:r>
    </w:p>
    <w:tbl>
      <w:tblPr>
        <w:tblW w:type="auto" w:w="0"/>
        <w:tblLook w:firstColumn="1" w:firstRow="1" w:lastColumn="0" w:lastRow="0" w:noHBand="0" w:noVBand="1" w:val="04A0"/>
        <w:tblBorders>
          <w:top w:val="none"/>
          <w:left w:val="none"/>
          <w:bottom w:val="none"/>
          <w:right w:val="none"/>
          <w:insideH w:val="none"/>
          <w:insideV w:val="none"/>
        </w:tblBorders>
      </w:tblPr>
      <w:tblGrid>
        <w:gridCol w:w="9360"/>
      </w:tblGrid>
      <w:tr>
        <w:tc>
          <w:tcPr>
            <w:tcW w:type="dxa" w:w="9360"/>
            <w:shd w:val="clear" w:color="auto" w:fill="EAF4FB"/>
            <w:tcBorders>
              <w:top w:val="none"/>
              <w:left w:val="none"/>
              <w:bottom w:val="none"/>
              <w:right w:val="none"/>
              <w:insideH w:val="none"/>
              <w:insideV w:val="none"/>
            </w:tcBorders>
            <w:tcBorders>
              <w:top w:val="none"/>
              <w:right w:val="none"/>
              <w:bottom w:val="none"/>
              <w:left w:val="single" w:sz="24" w:space="0" w:color="1B4F8C"/>
            </w:tcBorders>
            <w:tcMar>
              <w:top w:w="100" w:type="dxa"/>
              <w:right w:w="160" w:type="dxa"/>
              <w:bottom w:w="100" w:type="dxa"/>
              <w:left w:w="180" w:type="dxa"/>
            </w:tcMar>
          </w:tcPr>
          <w:p>
            <w:pPr>
              <w:spacing w:before="0" w:after="24"/>
            </w:pPr>
            <w:r>
              <w:rPr>
                <w:rFonts w:ascii="Georgia" w:hAnsi="Georgia"/>
                <w:b/>
                <w:i w:val="0"/>
                <w:color w:val="1B4F8C"/>
                <w:sz w:val="20"/>
                <w:u w:val="none"/>
              </w:rPr>
              <w:t>EXPERT RATIONALE</w:t>
            </w:r>
          </w:p>
          <w:p>
            <w:pPr>
              <w:spacing w:before="0" w:after="0"/>
            </w:pPr>
            <w:r>
              <w:rPr>
                <w:rFonts w:ascii="Calibri" w:hAnsi="Calibri"/>
                <w:b w:val="0"/>
                <w:i/>
                <w:color w:val="1A1A1A"/>
                <w:sz w:val="21"/>
                <w:u w:val="none"/>
              </w:rPr>
              <w:t>You do not need to have all the answers before making this call. What matters is that you have investigated, you can describe what you found, and you have a recommendation. The controller wants a clear picture, not a solved problem.</w:t>
            </w:r>
          </w:p>
        </w:tc>
      </w:tr>
    </w:tbl>
    <w:p>
      <w:pPr>
        <w:spacing w:before="0" w:after="0"/>
      </w:pPr>
      <w:r>
        <w:rPr>
          <w:sz w:val="16"/>
        </w:rPr>
      </w:r>
    </w:p>
    <w:p>
      <w:pPr>
        <w:spacing w:before="40" w:after="40"/>
      </w:pPr>
      <w:r>
        <w:rPr>
          <w:rFonts w:ascii="Georgia" w:hAnsi="Georgia"/>
          <w:b/>
          <w:i w:val="0"/>
          <w:color w:val="1B4F8C"/>
          <w:sz w:val="22"/>
          <w:u w:val="none"/>
        </w:rPr>
        <w:t>Documentation Protocol — After the Decision Is Made</w:t>
      </w:r>
    </w:p>
    <w:tbl>
      <w:tblPr>
        <w:tblW w:type="auto" w:w="0"/>
        <w:tblLook w:firstColumn="1" w:firstRow="1" w:lastColumn="0" w:lastRow="0" w:noHBand="0" w:noVBand="1" w:val="04A0"/>
        <w:tblBorders>
          <w:top w:val="none"/>
          <w:left w:val="none"/>
          <w:bottom w:val="none"/>
          <w:right w:val="none"/>
          <w:insideH w:val="none"/>
          <w:insideV w:val="none"/>
        </w:tblBorders>
      </w:tblPr>
      <w:tblGrid>
        <w:gridCol w:w="9360"/>
      </w:tblGrid>
      <w:tr>
        <w:tc>
          <w:tcPr>
            <w:tcW w:type="dxa" w:w="9360"/>
            <w:shd w:val="clear" w:color="auto" w:fill="F2F2F2"/>
            <w:tcBorders>
              <w:top w:val="none"/>
              <w:left w:val="none"/>
              <w:bottom w:val="none"/>
              <w:right w:val="none"/>
              <w:insideH w:val="none"/>
              <w:insideV w:val="none"/>
            </w:tcBorders>
            <w:tcBorders>
              <w:top w:val="none"/>
              <w:right w:val="none"/>
              <w:bottom w:val="none"/>
              <w:left w:val="single" w:sz="18" w:space="0" w:color="2E9CCA"/>
            </w:tcBorders>
            <w:tcMar>
              <w:top w:w="80" w:type="dxa"/>
              <w:right w:w="140" w:type="dxa"/>
              <w:bottom w:w="80" w:type="dxa"/>
              <w:left w:w="160" w:type="dxa"/>
            </w:tcMar>
          </w:tcPr>
          <w:p>
            <w:pPr>
              <w:spacing w:before="0" w:after="24"/>
            </w:pPr>
            <w:r>
              <w:rPr>
                <w:rFonts w:ascii="Calibri" w:hAnsi="Calibri"/>
                <w:b/>
                <w:i w:val="0"/>
                <w:color w:val="2E9CCA"/>
                <w:sz w:val="18"/>
                <w:u w:val="none"/>
              </w:rPr>
              <w:t>⚠  SME SESSION REQUIRED (q-007)</w:t>
            </w:r>
          </w:p>
          <w:p>
            <w:pPr>
              <w:spacing w:before="0" w:after="0"/>
            </w:pPr>
            <w:r>
              <w:rPr>
                <w:rFonts w:ascii="Calibri" w:hAnsi="Calibri"/>
                <w:b w:val="0"/>
                <w:i/>
                <w:color w:val="595959"/>
                <w:sz w:val="19"/>
                <w:u w:val="none"/>
              </w:rPr>
              <w:t>What does Maria document after closing with a known reconciling item? Where? What would an auditor expect to find? Include: D365 notes field, external workpaper, email trail, required content for each. [Populated from q-007 session output.]</w:t>
            </w:r>
          </w:p>
        </w:tc>
      </w:tr>
    </w:tbl>
    <w:p>
      <w:pPr>
        <w:spacing w:before="0" w:after="0"/>
      </w:pPr>
      <w:r>
        <w:rPr>
          <w:sz w:val="12"/>
        </w:rPr>
      </w:r>
    </w:p>
    <w:p>
      <w:pPr>
        <w:spacing w:before="40" w:after="40"/>
      </w:pPr>
      <w:r>
        <w:rPr>
          <w:rFonts w:ascii="Georgia" w:hAnsi="Georgia"/>
          <w:b/>
          <w:i w:val="0"/>
          <w:color w:val="1B4F8C"/>
          <w:sz w:val="22"/>
          <w:u w:val="none"/>
        </w:rPr>
        <w:t>After the Period Closes — Follow-Up Action</w:t>
      </w:r>
    </w:p>
    <w:p>
      <w:pPr>
        <w:jc w:val="left"/>
        <w:spacing w:before="0" w:after="60"/>
      </w:pPr>
      <w:r>
        <w:rPr>
          <w:rFonts w:ascii="Calibri" w:hAnsi="Calibri"/>
          <w:b w:val="0"/>
          <w:i w:val="0"/>
          <w:color w:val="1A1A1A"/>
          <w:sz w:val="20"/>
          <w:u w:val="none"/>
        </w:rPr>
        <w:t>This item becomes a priority investigation for the first week of the new period. Document the follow-up action and owner in [q-007: wherever Maria tracks open carry-forward items].</w:t>
      </w:r>
    </w:p>
    <w:tbl>
      <w:tblPr>
        <w:tblW w:type="auto" w:w="0"/>
        <w:tblLook w:firstColumn="1" w:firstRow="1" w:lastColumn="0" w:lastRow="0" w:noHBand="0" w:noVBand="1" w:val="04A0"/>
        <w:tblBorders>
          <w:top w:val="none"/>
          <w:left w:val="none"/>
          <w:bottom w:val="none"/>
          <w:right w:val="none"/>
          <w:insideH w:val="none"/>
          <w:insideV w:val="none"/>
        </w:tblBorders>
      </w:tblPr>
      <w:tblGrid>
        <w:gridCol w:w="9360"/>
      </w:tblGrid>
      <w:tr>
        <w:tc>
          <w:tcPr>
            <w:tcW w:type="dxa" w:w="9360"/>
            <w:shd w:val="clear" w:color="auto" w:fill="F2F2F2"/>
            <w:tcBorders>
              <w:top w:val="none"/>
              <w:left w:val="none"/>
              <w:bottom w:val="none"/>
              <w:right w:val="none"/>
              <w:insideH w:val="none"/>
              <w:insideV w:val="none"/>
            </w:tcBorders>
            <w:tcBorders>
              <w:top w:val="none"/>
              <w:right w:val="none"/>
              <w:bottom w:val="none"/>
              <w:left w:val="single" w:sz="18" w:space="0" w:color="2E9CCA"/>
            </w:tcBorders>
            <w:tcMar>
              <w:top w:w="80" w:type="dxa"/>
              <w:right w:w="140" w:type="dxa"/>
              <w:bottom w:w="80" w:type="dxa"/>
              <w:left w:w="160" w:type="dxa"/>
            </w:tcMar>
          </w:tcPr>
          <w:p>
            <w:pPr>
              <w:spacing w:before="0" w:after="24"/>
            </w:pPr>
            <w:r>
              <w:rPr>
                <w:rFonts w:ascii="Calibri" w:hAnsi="Calibri"/>
                <w:b/>
                <w:i w:val="0"/>
                <w:color w:val="2E9CCA"/>
                <w:sz w:val="18"/>
                <w:u w:val="none"/>
              </w:rPr>
              <w:t>⚠  SME SESSION REQUIRED (q-007)</w:t>
            </w:r>
          </w:p>
          <w:p>
            <w:pPr>
              <w:spacing w:before="0" w:after="0"/>
            </w:pPr>
            <w:r>
              <w:rPr>
                <w:rFonts w:ascii="Calibri" w:hAnsi="Calibri"/>
                <w:b w:val="0"/>
                <w:i/>
                <w:color w:val="595959"/>
                <w:sz w:val="19"/>
                <w:u w:val="none"/>
              </w:rPr>
              <w:t>Where does Maria record open items that carry forward to the next period?</w:t>
            </w:r>
          </w:p>
        </w:tc>
      </w:tr>
    </w:tbl>
    <w:p>
      <w:pPr>
        <w:spacing w:before="0" w:after="0"/>
      </w:pPr>
      <w:r>
        <w:rPr>
          <w:sz w:val="16"/>
        </w:rPr>
      </w:r>
    </w:p>
    <w:tbl>
      <w:tblPr>
        <w:tblW w:type="auto" w:w="0"/>
        <w:tblLook w:firstColumn="1" w:firstRow="1" w:lastColumn="0" w:lastRow="0" w:noHBand="0" w:noVBand="1" w:val="04A0"/>
        <w:tblBorders>
          <w:top w:val="none"/>
          <w:left w:val="none"/>
          <w:bottom w:val="none"/>
          <w:right w:val="none"/>
          <w:insideH w:val="none"/>
          <w:insideV w:val="none"/>
        </w:tblBorders>
      </w:tblPr>
      <w:tblGrid>
        <w:gridCol w:w="9360"/>
      </w:tblGrid>
      <w:tr>
        <w:tc>
          <w:tcPr>
            <w:tcW w:type="dxa" w:w="9360"/>
            <w:shd w:val="clear" w:color="auto" w:fill="F2F2F2"/>
            <w:tcBorders>
              <w:top w:val="none"/>
              <w:left w:val="none"/>
              <w:bottom w:val="none"/>
              <w:right w:val="none"/>
              <w:insideH w:val="none"/>
              <w:insideV w:val="none"/>
            </w:tcBorders>
            <w:tcBorders>
              <w:top w:val="none"/>
              <w:right w:val="none"/>
              <w:bottom w:val="none"/>
              <w:left w:val="single" w:sz="18" w:space="0" w:color="2E9CCA"/>
            </w:tcBorders>
            <w:tcMar>
              <w:top w:w="80" w:type="dxa"/>
              <w:right w:w="140" w:type="dxa"/>
              <w:bottom w:w="80" w:type="dxa"/>
              <w:left w:w="160" w:type="dxa"/>
            </w:tcMar>
          </w:tcPr>
          <w:p>
            <w:pPr>
              <w:spacing w:before="0" w:after="24"/>
            </w:pPr>
            <w:r>
              <w:rPr>
                <w:rFonts w:ascii="Calibri" w:hAnsi="Calibri"/>
                <w:b/>
                <w:i w:val="0"/>
                <w:color w:val="2E9CCA"/>
                <w:sz w:val="18"/>
                <w:u w:val="none"/>
              </w:rPr>
              <w:t>⚠  REVIEWER NOTE</w:t>
            </w:r>
          </w:p>
          <w:p>
            <w:pPr>
              <w:spacing w:before="0" w:after="0"/>
            </w:pPr>
            <w:r>
              <w:rPr>
                <w:rFonts w:ascii="Calibri" w:hAnsi="Calibri"/>
                <w:b w:val="0"/>
                <w:i/>
                <w:color w:val="595959"/>
                <w:sz w:val="19"/>
                <w:u w:val="none"/>
              </w:rPr>
              <w:t>Coping model, checklist structure, communication template, and expert rationale are finalized. Page 1 scenario narrative, all three Path conditions, documentation protocol, and follow-up tracking location require q-007.</w:t>
            </w:r>
          </w:p>
        </w:tc>
      </w:tr>
    </w:tbl>
    <w:sectPr w:rsidR="00FC693F" w:rsidRPr="0006063C" w:rsidSect="00034616">
      <w:footerReference w:type="default" r:id="rId9"/>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spacing w:before="0" w:after="0"/>
    </w:pPr>
    <w:r>
      <w:rPr>
        <w:rFonts w:ascii="Calibri" w:hAnsi="Calibri"/>
        <w:color w:val="595959"/>
        <w:sz w:val="16"/>
      </w:rPr>
      <w:t>ART-007  •  Reconciliation Close Management  •  Blue Edgewater Consulting  •  CoBuild v1.0</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