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 w:before="0"/>
      </w:pPr>
      <w:r>
        <w:rPr>
          <w:rFonts w:ascii="Calibri" w:cs="Calibri" w:eastAsia="Calibri" w:hAnsi="Calibri"/>
          <w:b/>
          <w:bCs/>
          <w:color w:val="2E9CCA"/>
          <w:sz w:val="18"/>
          <w:szCs w:val="18"/>
        </w:rPr>
        <w:t xml:space="preserve">BLUE EDGEWATER CONSULTING</w:t>
      </w:r>
    </w:p>
    <w:p>
      <w:pPr>
        <w:spacing w:after="200" w:before="0"/>
      </w:pPr>
      <w:r>
        <w:rPr>
          <w:rFonts w:ascii="Calibri" w:cs="Calibri" w:eastAsia="Calibri" w:hAnsi="Calibri"/>
          <w:color w:val="666666"/>
          <w:sz w:val="18"/>
          <w:szCs w:val="18"/>
        </w:rPr>
        <w:t xml:space="preserve">Case Study</w:t>
      </w:r>
    </w:p>
    <w:p>
      <w:pPr>
        <w:spacing w:after="120" w:before="0"/>
      </w:pPr>
      <w:r>
        <w:rPr>
          <w:rFonts w:ascii="Georgia" w:cs="Georgia" w:eastAsia="Georgia" w:hAnsi="Georgia"/>
          <w:b/>
          <w:bCs/>
          <w:color w:val="1B4F8C"/>
          <w:sz w:val="72"/>
          <w:szCs w:val="72"/>
        </w:rPr>
        <w:t xml:space="preserve">CoBuild</w:t>
      </w:r>
    </w:p>
    <w:p>
      <w:pPr>
        <w:spacing w:after="200" w:before="0"/>
      </w:pPr>
      <w:r>
        <w:rPr>
          <w:rFonts w:ascii="Georgia" w:cs="Georgia" w:eastAsia="Georgia" w:hAnsi="Georgia"/>
          <w:color w:val="1A1A2E"/>
          <w:sz w:val="32"/>
          <w:szCs w:val="32"/>
        </w:rPr>
        <w:t xml:space="preserve">An Agentic Knowledge Preservation System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2E9CCA" w:sz="6"/>
              <w:left w:val="single" w:color="2E9CCA" w:sz="18"/>
              <w:bottom w:val="none" w:color="FFFFFF" w:sz="0"/>
              <w:right w:val="none" w:color="FFFFFF" w:sz="0"/>
            </w:tcBorders>
            <w:shd w:fill="EAF4FB" w:val="clear"/>
            <w:tcMar>
              <w:top w:type="dxa" w:w="160"/>
              <w:left w:type="dxa" w:w="240"/>
              <w:bottom w:type="dxa" w:w="160"/>
              <w:right w:type="dxa" w:w="24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1B4F8C"/>
                <w:sz w:val="22"/>
                <w:szCs w:val="22"/>
              </w:rPr>
              <w:t xml:space="preserve">Preserve human expertise before it walks out the door.</w:t>
            </w:r>
          </w:p>
        </w:tc>
      </w:tr>
    </w:tbl>
    <w:p>
      <w:pPr>
        <w:spacing w:after="0" w:before="200"/>
      </w:pPr>
      <w:r>
        <w:t xml:space="preserve"/>
      </w:r>
    </w:p>
    <w:p>
      <w:pPr>
        <w:spacing w:after="80" w:before="0"/>
      </w:pPr>
      <w:r>
        <w:rPr>
          <w:rFonts w:ascii="Calibri" w:cs="Calibri" w:eastAsia="Calibri" w:hAnsi="Calibri"/>
          <w:color w:val="666666"/>
          <w:sz w:val="18"/>
          <w:szCs w:val="18"/>
        </w:rPr>
        <w:t xml:space="preserve">Jason Edgewater  ·  Blue Edgewater Consulting  ·  blueedgewater.com</w:t>
      </w:r>
    </w:p>
    <w:p>
      <w:pPr>
        <w:spacing w:after="400" w:before="0"/>
      </w:pPr>
      <w:r>
        <w:rPr>
          <w:rFonts w:ascii="Calibri" w:cs="Calibri" w:eastAsia="Calibri" w:hAnsi="Calibri"/>
          <w:color w:val="666666"/>
          <w:sz w:val="18"/>
          <w:szCs w:val="18"/>
        </w:rPr>
        <w:t xml:space="preserve">Pilot completed: May 2026  ·  CoBuild v1.0</w:t>
      </w:r>
    </w:p>
    <w:p>
      <w:pPr>
        <w:pBdr>
          <w:bottom w:val="single" w:color="2E9CCA" w:sz="4" w:space="1"/>
        </w:pBdr>
        <w:spacing w:after="240" w:before="240"/>
      </w:pPr>
      <w:r>
        <w:t xml:space="preserve"/>
      </w:r>
    </w:p>
    <w:p>
      <w:pPr>
        <w:pStyle w:val="Heading1"/>
        <w:spacing w:after="160" w:before="400"/>
      </w:pPr>
      <w:r>
        <w:rPr>
          <w:rFonts w:ascii="Georgia" w:cs="Georgia" w:eastAsia="Georgia" w:hAnsi="Georgia"/>
          <w:b/>
          <w:bCs/>
          <w:color w:val="1B4F8C"/>
          <w:sz w:val="36"/>
          <w:szCs w:val="36"/>
        </w:rPr>
        <w:t xml:space="preserve">The Problem</w:t>
      </w:r>
    </w:p>
    <w:p>
      <w:pPr>
        <w:spacing w:after="120" w:before="8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Every organization has a single point of failure on its org chart.</w:t>
      </w:r>
    </w:p>
    <w:p>
      <w:pPr>
        <w:spacing w:after="0" w:before="80"/>
      </w:pPr>
      <w:r>
        <w:t xml:space="preserve"/>
      </w:r>
    </w:p>
    <w:p>
      <w:pPr>
        <w:spacing w:after="120" w:before="8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The senior finance lead who owns the month-end close. The warehousing supervisor who knows which scanner needs to be reset on humid mornings. The grants manager who remembers why three federal reports use a non-standard fiscal calendar. The volunteer coordinator who has the cell phone numbers of every reliable Saturday morning crew.</w:t>
      </w:r>
    </w:p>
    <w:p>
      <w:pPr>
        <w:spacing w:after="0" w:before="80"/>
      </w:pPr>
      <w:r>
        <w:t xml:space="preserve"/>
      </w:r>
    </w:p>
    <w:p>
      <w:pPr>
        <w:spacing w:after="120" w:before="8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When these people retire, go on leave, or take another job, organizations discover something uncomfortable: the SOPs they spent years writing don't contain the knowledge they actually need. The procedures are documented. The reasoning, the workarounds, the relationships, the judgment calls — all of that lives in one person's head.</w:t>
      </w:r>
    </w:p>
    <w:p>
      <w:pPr>
        <w:spacing w:after="0" w:before="80"/>
      </w:pPr>
      <w:r>
        <w:t xml:space="preserve"/>
      </w:r>
    </w:p>
    <w:p>
      <w:pPr>
        <w:spacing w:after="120" w:before="8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This is the tacit knowledge problem. Most organizations confront it the same way: too late.</w:t>
      </w:r>
    </w:p>
    <w:p>
      <w:pPr>
        <w:spacing w:after="0" w:before="8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2E9CCA" w:sz="6"/>
              <w:left w:val="single" w:color="2E9CCA" w:sz="18"/>
              <w:bottom w:val="none" w:color="FFFFFF" w:sz="0"/>
              <w:right w:val="none" w:color="FFFFFF" w:sz="0"/>
            </w:tcBorders>
            <w:shd w:fill="EAF4FB" w:val="clear"/>
            <w:tcMar>
              <w:top w:type="dxa" w:w="160"/>
              <w:left w:type="dxa" w:w="240"/>
              <w:bottom w:type="dxa" w:w="160"/>
              <w:right w:type="dxa" w:w="24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1B4F8C"/>
                <w:sz w:val="22"/>
                <w:szCs w:val="22"/>
              </w:rPr>
              <w:t xml:space="preserve">CoBuild was built to confront it on purpose.</w:t>
            </w:r>
          </w:p>
        </w:tc>
      </w:tr>
    </w:tbl>
    <w:p>
      <w:pPr>
        <w:spacing w:after="0" w:before="160"/>
      </w:pPr>
      <w:r>
        <w:t xml:space="preserve"/>
      </w:r>
    </w:p>
    <w:p>
      <w:pPr>
        <w:pBdr>
          <w:bottom w:val="single" w:color="2E9CCA" w:sz="4" w:space="1"/>
        </w:pBdr>
        <w:spacing w:after="240" w:before="240"/>
      </w:pPr>
      <w:r>
        <w:t xml:space="preserve"/>
      </w:r>
    </w:p>
    <w:p>
      <w:pPr>
        <w:pStyle w:val="Heading1"/>
        <w:spacing w:after="160" w:before="400"/>
      </w:pPr>
      <w:r>
        <w:rPr>
          <w:rFonts w:ascii="Georgia" w:cs="Georgia" w:eastAsia="Georgia" w:hAnsi="Georgia"/>
          <w:b/>
          <w:bCs/>
          <w:color w:val="1B4F8C"/>
          <w:sz w:val="36"/>
          <w:szCs w:val="36"/>
        </w:rPr>
        <w:t xml:space="preserve">What CoBuild Is</w:t>
      </w:r>
    </w:p>
    <w:p>
      <w:pPr>
        <w:spacing w:after="120" w:before="8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CoBuild is an agentic system that captures the expertise of a single high-knowledge employee and produces a layered set of performance support artifacts a team can use to continue operating without them. It is not a chatbot, a documentation generator, or an LMS.</w:t>
      </w:r>
    </w:p>
    <w:p>
      <w:pPr>
        <w:spacing w:after="0" w:before="80"/>
      </w:pPr>
      <w:r>
        <w:t xml:space="preserve"/>
      </w:r>
    </w:p>
    <w:p>
      <w:pPr>
        <w:spacing w:after="120" w:before="8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It is an instructional design pipeline — built from real L&amp;D team roles, grounded in established learning science, and orchestrated through AI agents.</w:t>
      </w:r>
    </w:p>
    <w:p>
      <w:pPr>
        <w:spacing w:after="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2E9CCA" w:sz="6"/>
              <w:left w:val="single" w:color="2E9CCA" w:sz="18"/>
              <w:bottom w:val="none" w:color="FFFFFF" w:sz="0"/>
              <w:right w:val="none" w:color="FFFFFF" w:sz="0"/>
            </w:tcBorders>
            <w:shd w:fill="EAF4FB" w:val="clear"/>
            <w:tcMar>
              <w:top w:type="dxa" w:w="160"/>
              <w:left w:type="dxa" w:w="240"/>
              <w:bottom w:type="dxa" w:w="160"/>
              <w:right w:type="dxa" w:w="24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1B4F8C"/>
                <w:sz w:val="22"/>
                <w:szCs w:val="22"/>
              </w:rPr>
              <w:t xml:space="preserve">The system answers one question: If this person became unavailable tomorrow, what would the team need on Monday?</w:t>
            </w:r>
          </w:p>
        </w:tc>
      </w:tr>
    </w:tbl>
    <w:p>
      <w:pPr>
        <w:spacing w:after="0" w:before="160"/>
      </w:pPr>
      <w:r>
        <w:t xml:space="preserve"/>
      </w:r>
    </w:p>
    <w:p>
      <w:pPr>
        <w:pBdr>
          <w:bottom w:val="single" w:color="2E9CCA" w:sz="4" w:space="1"/>
        </w:pBdr>
        <w:spacing w:after="240" w:before="240"/>
      </w:pPr>
      <w:r>
        <w:t xml:space="preserve"/>
      </w:r>
    </w:p>
    <w:p>
      <w:pPr>
        <w:pStyle w:val="Heading1"/>
        <w:spacing w:after="160" w:before="400"/>
      </w:pPr>
      <w:r>
        <w:rPr>
          <w:rFonts w:ascii="Georgia" w:cs="Georgia" w:eastAsia="Georgia" w:hAnsi="Georgia"/>
          <w:b/>
          <w:bCs/>
          <w:color w:val="1B4F8C"/>
          <w:sz w:val="36"/>
          <w:szCs w:val="36"/>
        </w:rPr>
        <w:t xml:space="preserve">The Pilot</w:t>
      </w:r>
    </w:p>
    <w:p>
      <w:pPr>
        <w:spacing w:after="120" w:before="8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To validate CoBuild end-to-end, I designed a pilot around a universally legible scenario: a senior finance lead at a mid-sized organization goes on extended medical leave with two weeks' notice. She owns the period-end close process in Microsoft Dynamics 365 Finance &amp; Operations — depreciation runs, inter-company eliminations, period status management, and the dozens of small judgment calls that make the difference between a clean close and a week of rework.</w:t>
      </w:r>
    </w:p>
    <w:p>
      <w:pPr>
        <w:spacing w:after="0" w:before="120"/>
      </w:pPr>
      <w:r>
        <w:t xml:space="preserve"/>
      </w:r>
    </w:p>
    <w:p>
      <w:pPr>
        <w:pStyle w:val="Heading2"/>
        <w:spacing w:after="120" w:before="320"/>
      </w:pPr>
      <w:r>
        <w:rPr>
          <w:rFonts w:ascii="Georgia" w:cs="Georgia" w:eastAsia="Georgia" w:hAnsi="Georgia"/>
          <w:b/>
          <w:bCs/>
          <w:color w:val="1A1A2E"/>
          <w:sz w:val="26"/>
          <w:szCs w:val="26"/>
        </w:rPr>
        <w:t xml:space="preserve">Why D365 Finance period-end close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Complex enough to be a meaningful test — touches six modules, real configuration choices, coordination across finance, operations, and IT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Generic enough to demonstrate publicly — every reference is to publicly documented D365 functionality, no client data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Immediately recognizable across industries — every organization understands losing the person who closes the books</w:t>
      </w:r>
    </w:p>
    <w:p>
      <w:pPr>
        <w:spacing w:after="0" w:before="120"/>
      </w:pPr>
      <w:r>
        <w:t xml:space="preserve"/>
      </w:r>
    </w:p>
    <w:p>
      <w:pPr>
        <w:pStyle w:val="Heading2"/>
        <w:spacing w:after="120" w:before="320"/>
      </w:pPr>
      <w:r>
        <w:rPr>
          <w:rFonts w:ascii="Georgia" w:cs="Georgia" w:eastAsia="Georgia" w:hAnsi="Georgia"/>
          <w:b/>
          <w:bCs/>
          <w:color w:val="1A1A2E"/>
          <w:sz w:val="26"/>
          <w:szCs w:val="26"/>
        </w:rPr>
        <w:t xml:space="preserve">Pilot inputs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1 synthetic SME interview transcript (47 minutes, 6 deliberately planted tacit knowledge gaps)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1 D365 Finance reference document (publicly available textbook chapter, Luszczak 2023)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1 organizational knowledge base (Obsidian vault with framework references)</w:t>
      </w:r>
    </w:p>
    <w:p>
      <w:pPr>
        <w:spacing w:after="0" w:before="160"/>
      </w:pPr>
      <w:r>
        <w:t xml:space="preserve"/>
      </w:r>
    </w:p>
    <w:p>
      <w:pPr>
        <w:pBdr>
          <w:bottom w:val="single" w:color="2E9CCA" w:sz="4" w:space="1"/>
        </w:pBdr>
        <w:spacing w:after="240" w:before="240"/>
      </w:pPr>
      <w:r>
        <w:t xml:space="preserve"/>
      </w:r>
    </w:p>
    <w:p>
      <w:pPr>
        <w:pStyle w:val="Heading1"/>
        <w:spacing w:after="160" w:before="400"/>
      </w:pPr>
      <w:r>
        <w:rPr>
          <w:rFonts w:ascii="Georgia" w:cs="Georgia" w:eastAsia="Georgia" w:hAnsi="Georgia"/>
          <w:b/>
          <w:bCs/>
          <w:color w:val="1B4F8C"/>
          <w:sz w:val="36"/>
          <w:szCs w:val="36"/>
        </w:rPr>
        <w:t xml:space="preserve">The Architecture</w:t>
      </w:r>
    </w:p>
    <w:p>
      <w:pPr>
        <w:spacing w:after="120" w:before="8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CoBuild runs seven agents — including Agent 3.5, a Learning Theory Selection Agent that sits between the Knowledge Gap Agent and the Instructional Strategy Agent. Each agent maps to a real position on a learning team, has one job, one input, and one handoff.</w:t>
      </w:r>
    </w:p>
    <w:p>
      <w:pPr>
        <w:spacing w:after="0" w:before="1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1440"/>
        <w:gridCol w:w="2400"/>
        <w:gridCol w:w="4920"/>
      </w:tblGrid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4F8C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4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4F8C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Agent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4F8C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L&amp;D Role</w:t>
            </w:r>
          </w:p>
        </w:tc>
        <w:tc>
          <w:tcPr>
            <w:tcW w:type="dxa" w:w="49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4F8C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Purpose</w:t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color w:val="1A1A2E"/>
                <w:sz w:val="20"/>
                <w:szCs w:val="20"/>
              </w:rPr>
              <w:t xml:space="preserve">1</w:t>
            </w:r>
          </w:p>
        </w:tc>
        <w:tc>
          <w:tcPr>
            <w:tcW w:type="dxa" w:w="14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FB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color w:val="1B4F8C"/>
                <w:sz w:val="20"/>
                <w:szCs w:val="20"/>
              </w:rPr>
              <w:t xml:space="preserve">Intake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color w:val="1A1A2E"/>
                <w:sz w:val="20"/>
                <w:szCs w:val="20"/>
              </w:rPr>
              <w:t xml:space="preserve">Needs Analyst (ingestion)</w:t>
            </w:r>
          </w:p>
        </w:tc>
        <w:tc>
          <w:tcPr>
            <w:tcW w:type="dxa" w:w="49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color w:val="1A1A2E"/>
                <w:sz w:val="20"/>
                <w:szCs w:val="20"/>
              </w:rPr>
              <w:t xml:space="preserve">Cleans, chunks, and tags every source document</w:t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color w:val="1A1A2E"/>
                <w:sz w:val="20"/>
                <w:szCs w:val="20"/>
              </w:rPr>
              <w:t xml:space="preserve">2</w:t>
            </w:r>
          </w:p>
        </w:tc>
        <w:tc>
          <w:tcPr>
            <w:tcW w:type="dxa" w:w="14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FB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color w:val="1B4F8C"/>
                <w:sz w:val="20"/>
                <w:szCs w:val="20"/>
              </w:rPr>
              <w:t xml:space="preserve">Task &amp; Criticality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color w:val="1A1A2E"/>
                <w:sz w:val="20"/>
                <w:szCs w:val="20"/>
              </w:rPr>
              <w:t xml:space="preserve">Needs Analyst</w:t>
            </w:r>
          </w:p>
        </w:tc>
        <w:tc>
          <w:tcPr>
            <w:tcW w:type="dxa" w:w="49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color w:val="1A1A2E"/>
                <w:sz w:val="20"/>
                <w:szCs w:val="20"/>
              </w:rPr>
              <w:t xml:space="preserve">Inventories every task and scores by risk</w:t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color w:val="1A1A2E"/>
                <w:sz w:val="20"/>
                <w:szCs w:val="20"/>
              </w:rPr>
              <w:t xml:space="preserve">3</w:t>
            </w:r>
          </w:p>
        </w:tc>
        <w:tc>
          <w:tcPr>
            <w:tcW w:type="dxa" w:w="14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FB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color w:val="1B4F8C"/>
                <w:sz w:val="20"/>
                <w:szCs w:val="20"/>
              </w:rPr>
              <w:t xml:space="preserve">Knowledge Gap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color w:val="1A1A2E"/>
                <w:sz w:val="20"/>
                <w:szCs w:val="20"/>
              </w:rPr>
              <w:t xml:space="preserve">Needs Analyst + SME Liaison</w:t>
            </w:r>
          </w:p>
        </w:tc>
        <w:tc>
          <w:tcPr>
            <w:tcW w:type="dxa" w:w="49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color w:val="1A1A2E"/>
                <w:sz w:val="20"/>
                <w:szCs w:val="20"/>
              </w:rPr>
              <w:t xml:space="preserve">Surfaces what the expert knows that isn't written down</w:t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color w:val="1A1A2E"/>
                <w:sz w:val="20"/>
                <w:szCs w:val="20"/>
              </w:rPr>
              <w:t xml:space="preserve">3.5</w:t>
            </w:r>
          </w:p>
        </w:tc>
        <w:tc>
          <w:tcPr>
            <w:tcW w:type="dxa" w:w="14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FB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color w:val="1B4F8C"/>
                <w:sz w:val="20"/>
                <w:szCs w:val="20"/>
              </w:rPr>
              <w:t xml:space="preserve">Learning Theory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color w:val="1A1A2E"/>
                <w:sz w:val="20"/>
                <w:szCs w:val="20"/>
              </w:rPr>
              <w:t xml:space="preserve">Instructional Designer</w:t>
            </w:r>
          </w:p>
        </w:tc>
        <w:tc>
          <w:tcPr>
            <w:tcW w:type="dxa" w:w="49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color w:val="1A1A2E"/>
                <w:sz w:val="20"/>
                <w:szCs w:val="20"/>
              </w:rPr>
              <w:t xml:space="preserve">Selects the right learning theory per gap</w:t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color w:val="1A1A2E"/>
                <w:sz w:val="20"/>
                <w:szCs w:val="20"/>
              </w:rPr>
              <w:t xml:space="preserve">4</w:t>
            </w:r>
          </w:p>
        </w:tc>
        <w:tc>
          <w:tcPr>
            <w:tcW w:type="dxa" w:w="14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FB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color w:val="1B4F8C"/>
                <w:sz w:val="20"/>
                <w:szCs w:val="20"/>
              </w:rPr>
              <w:t xml:space="preserve">Instructional Strategy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color w:val="1A1A2E"/>
                <w:sz w:val="20"/>
                <w:szCs w:val="20"/>
              </w:rPr>
              <w:t xml:space="preserve">Instructional Designer</w:t>
            </w:r>
          </w:p>
        </w:tc>
        <w:tc>
          <w:tcPr>
            <w:tcW w:type="dxa" w:w="49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color w:val="1A1A2E"/>
                <w:sz w:val="20"/>
                <w:szCs w:val="20"/>
              </w:rPr>
              <w:t xml:space="preserve">Decides what artifact type each gap needs</w:t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color w:val="1A1A2E"/>
                <w:sz w:val="20"/>
                <w:szCs w:val="20"/>
              </w:rPr>
              <w:t xml:space="preserve">5</w:t>
            </w:r>
          </w:p>
        </w:tc>
        <w:tc>
          <w:tcPr>
            <w:tcW w:type="dxa" w:w="14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FB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color w:val="1B4F8C"/>
                <w:sz w:val="20"/>
                <w:szCs w:val="20"/>
              </w:rPr>
              <w:t xml:space="preserve">Artifact Builder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color w:val="1A1A2E"/>
                <w:sz w:val="20"/>
                <w:szCs w:val="20"/>
              </w:rPr>
              <w:t xml:space="preserve">Content Developer</w:t>
            </w:r>
          </w:p>
        </w:tc>
        <w:tc>
          <w:tcPr>
            <w:tcW w:type="dxa" w:w="49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color w:val="1A1A2E"/>
                <w:sz w:val="20"/>
                <w:szCs w:val="20"/>
              </w:rPr>
              <w:t xml:space="preserve">Produces job aids, scenarios, decision trees</w:t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color w:val="1A1A2E"/>
                <w:sz w:val="20"/>
                <w:szCs w:val="20"/>
              </w:rPr>
              <w:t xml:space="preserve">6</w:t>
            </w:r>
          </w:p>
        </w:tc>
        <w:tc>
          <w:tcPr>
            <w:tcW w:type="dxa" w:w="14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FB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color w:val="1B4F8C"/>
                <w:sz w:val="20"/>
                <w:szCs w:val="20"/>
              </w:rPr>
              <w:t xml:space="preserve">Evaluation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color w:val="1A1A2E"/>
                <w:sz w:val="20"/>
                <w:szCs w:val="20"/>
              </w:rPr>
              <w:t xml:space="preserve">Evaluator / Analyst</w:t>
            </w:r>
          </w:p>
        </w:tc>
        <w:tc>
          <w:tcPr>
            <w:tcW w:type="dxa" w:w="49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color w:val="1A1A2E"/>
                <w:sz w:val="20"/>
                <w:szCs w:val="20"/>
              </w:rPr>
              <w:t xml:space="preserve">Builds Kirkpatrick + LTEM measurement plan</w:t>
            </w:r>
          </w:p>
        </w:tc>
      </w:tr>
    </w:tbl>
    <w:p>
      <w:pPr>
        <w:spacing w:after="0" w:before="160"/>
      </w:pPr>
      <w:r>
        <w:t xml:space="preserve"/>
      </w:r>
    </w:p>
    <w:p>
      <w:pPr>
        <w:pStyle w:val="Heading2"/>
        <w:spacing w:after="120" w:before="320"/>
      </w:pPr>
      <w:r>
        <w:rPr>
          <w:rFonts w:ascii="Georgia" w:cs="Georgia" w:eastAsia="Georgia" w:hAnsi="Georgia"/>
          <w:b/>
          <w:bCs/>
          <w:color w:val="1A1A2E"/>
          <w:sz w:val="26"/>
          <w:szCs w:val="26"/>
        </w:rPr>
        <w:t xml:space="preserve">What makes Agent 3.5 different</w:t>
      </w:r>
    </w:p>
    <w:p>
      <w:pPr>
        <w:spacing w:after="120" w:before="8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Most AI-in-L&amp;D tools assume every problem is a training problem and apply the same design approach to every gap. Agent 3.5 applies four learning theory lenses — Behaviorism, Cognitivism/CIP, Social Cognitive Theory, and Constructivism — to each true knowledge gap, then recommends the theory whose predictions best explain how transfer will succeed or fail for that specific gap.</w:t>
      </w:r>
    </w:p>
    <w:p>
      <w:pPr>
        <w:spacing w:after="0" w:before="80"/>
      </w:pPr>
      <w:r>
        <w:t xml:space="preserve"/>
      </w:r>
    </w:p>
    <w:p>
      <w:pPr>
        <w:spacing w:after="120" w:before="8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Agent 4 receives these theory recommendations as binding inputs. If it overrides a recommendation, it must document why. This makes every artifact design decision traceable to a learning science rationale — not just a pattern match on gap type.</w:t>
      </w:r>
    </w:p>
    <w:p>
      <w:pPr>
        <w:spacing w:after="0" w:before="160"/>
      </w:pPr>
      <w:r>
        <w:t xml:space="preserve"/>
      </w:r>
    </w:p>
    <w:p>
      <w:pPr>
        <w:pBdr>
          <w:bottom w:val="single" w:color="2E9CCA" w:sz="4" w:space="1"/>
        </w:pBdr>
        <w:spacing w:after="240" w:before="240"/>
      </w:pPr>
      <w:r>
        <w:t xml:space="preserve"/>
      </w:r>
    </w:p>
    <w:p>
      <w:pPr>
        <w:pStyle w:val="Heading1"/>
        <w:spacing w:after="160" w:before="400"/>
      </w:pPr>
      <w:r>
        <w:rPr>
          <w:rFonts w:ascii="Georgia" w:cs="Georgia" w:eastAsia="Georgia" w:hAnsi="Georgia"/>
          <w:b/>
          <w:bCs/>
          <w:color w:val="1B4F8C"/>
          <w:sz w:val="36"/>
          <w:szCs w:val="36"/>
        </w:rPr>
        <w:t xml:space="preserve">The Learning Science</w:t>
      </w:r>
    </w:p>
    <w:p>
      <w:pPr>
        <w:spacing w:after="120" w:before="8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CoBuild integrates five frameworks, applied at specific points in the pipeline:</w:t>
      </w:r>
    </w:p>
    <w:p>
      <w:pPr>
        <w:spacing w:after="0" w:before="120"/>
      </w:pPr>
      <w:r>
        <w:t xml:space="preserve"/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Calibri" w:cs="Calibri" w:eastAsia="Calibri" w:hAnsi="Calibri"/>
          <w:b/>
          <w:bCs/>
          <w:color w:val="1A1A2E"/>
          <w:sz w:val="22"/>
          <w:szCs w:val="22"/>
        </w:rPr>
        <w:t xml:space="preserve">Gilbert's Behavior Engineering Model (BEM) — </w:t>
      </w:r>
      <w:r>
        <w:rPr>
          <w:rFonts w:ascii="Calibri" w:cs="Calibri" w:eastAsia="Calibri" w:hAnsi="Calibri"/>
          <w:color w:val="1A1A2E"/>
          <w:sz w:val="22"/>
          <w:szCs w:val="22"/>
        </w:rPr>
        <w:t xml:space="preserve">Applied in the Knowledge Gap Agent to distinguish true knowledge gaps from environmental, incentive, or resource problems. Prevents CoBuild from generating training for problems training won't solve.</w:t>
      </w:r>
    </w:p>
    <w:p>
      <w:pPr>
        <w:spacing w:after="0" w:before="60"/>
      </w:pPr>
      <w:r>
        <w:t xml:space="preserve"/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Calibri" w:cs="Calibri" w:eastAsia="Calibri" w:hAnsi="Calibri"/>
          <w:b/>
          <w:bCs/>
          <w:color w:val="1A1A2E"/>
          <w:sz w:val="22"/>
          <w:szCs w:val="22"/>
        </w:rPr>
        <w:t xml:space="preserve">Four learning theories (Behaviorism, Cognitivism, SCT, Constructivism) — </w:t>
      </w:r>
      <w:r>
        <w:rPr>
          <w:rFonts w:ascii="Calibri" w:cs="Calibri" w:eastAsia="Calibri" w:hAnsi="Calibri"/>
          <w:color w:val="1A1A2E"/>
          <w:sz w:val="22"/>
          <w:szCs w:val="22"/>
        </w:rPr>
        <w:t xml:space="preserve">Used per gap by Agent 3.5 to select the theory whose predictions best match the transfer challenge.</w:t>
      </w:r>
    </w:p>
    <w:p>
      <w:pPr>
        <w:spacing w:after="0" w:before="60"/>
      </w:pPr>
      <w:r>
        <w:t xml:space="preserve"/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Calibri" w:cs="Calibri" w:eastAsia="Calibri" w:hAnsi="Calibri"/>
          <w:b/>
          <w:bCs/>
          <w:color w:val="1A1A2E"/>
          <w:sz w:val="22"/>
          <w:szCs w:val="22"/>
        </w:rPr>
        <w:t xml:space="preserve">Gagné's Nine Events of Instruction — </w:t>
      </w:r>
      <w:r>
        <w:rPr>
          <w:rFonts w:ascii="Calibri" w:cs="Calibri" w:eastAsia="Calibri" w:hAnsi="Calibri"/>
          <w:color w:val="1A1A2E"/>
          <w:sz w:val="22"/>
          <w:szCs w:val="22"/>
        </w:rPr>
        <w:t xml:space="preserve">Applied in the Instructional Strategy Agent as a completeness lens — ensuring artifacts include the scaffolding a performer actually needs.</w:t>
      </w:r>
    </w:p>
    <w:p>
      <w:pPr>
        <w:spacing w:after="0" w:before="60"/>
      </w:pPr>
      <w:r>
        <w:t xml:space="preserve"/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Calibri" w:cs="Calibri" w:eastAsia="Calibri" w:hAnsi="Calibri"/>
          <w:b/>
          <w:bCs/>
          <w:color w:val="1A1A2E"/>
          <w:sz w:val="22"/>
          <w:szCs w:val="22"/>
        </w:rPr>
        <w:t xml:space="preserve">Bloom's Taxonomy — </w:t>
      </w:r>
      <w:r>
        <w:rPr>
          <w:rFonts w:ascii="Calibri" w:cs="Calibri" w:eastAsia="Calibri" w:hAnsi="Calibri"/>
          <w:color w:val="1A1A2E"/>
          <w:sz w:val="22"/>
          <w:szCs w:val="22"/>
        </w:rPr>
        <w:t xml:space="preserve">Used to level learning objectives so the right cognitive demand is matched to the right task and artifact type.</w:t>
      </w:r>
    </w:p>
    <w:p>
      <w:pPr>
        <w:spacing w:after="0" w:before="60"/>
      </w:pPr>
      <w:r>
        <w:t xml:space="preserve"/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Calibri" w:cs="Calibri" w:eastAsia="Calibri" w:hAnsi="Calibri"/>
          <w:b/>
          <w:bCs/>
          <w:color w:val="1A1A2E"/>
          <w:sz w:val="22"/>
          <w:szCs w:val="22"/>
        </w:rPr>
        <w:t xml:space="preserve">The Kirkpatrick Model — </w:t>
      </w:r>
      <w:r>
        <w:rPr>
          <w:rFonts w:ascii="Calibri" w:cs="Calibri" w:eastAsia="Calibri" w:hAnsi="Calibri"/>
          <w:color w:val="1A1A2E"/>
          <w:sz w:val="22"/>
          <w:szCs w:val="22"/>
        </w:rPr>
        <w:t xml:space="preserve">Used in the Evaluation Agent as the leadership reporting layer — what to measure, when, and what success looks like.</w:t>
      </w:r>
    </w:p>
    <w:p>
      <w:pPr>
        <w:spacing w:after="0" w:before="60"/>
      </w:pPr>
      <w:r>
        <w:t xml:space="preserve"/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Calibri" w:cs="Calibri" w:eastAsia="Calibri" w:hAnsi="Calibri"/>
          <w:b/>
          <w:bCs/>
          <w:color w:val="1A1A2E"/>
          <w:sz w:val="22"/>
          <w:szCs w:val="22"/>
        </w:rPr>
        <w:t xml:space="preserve">Will Thalheimer's LTEM — </w:t>
      </w:r>
      <w:r>
        <w:rPr>
          <w:rFonts w:ascii="Calibri" w:cs="Calibri" w:eastAsia="Calibri" w:hAnsi="Calibri"/>
          <w:color w:val="1A1A2E"/>
          <w:sz w:val="22"/>
          <w:szCs w:val="22"/>
        </w:rPr>
        <w:t xml:space="preserve">Used in the Evaluation Agent as the diagnostic layer underneath Kirkpatrick — if transfer fails, which tier of the chain broke, and what does that tell the designer about whether to fix the artifact or fix the environment.</w:t>
      </w:r>
    </w:p>
    <w:p>
      <w:pPr>
        <w:spacing w:after="0" w:before="80"/>
      </w:pPr>
      <w:r>
        <w:t xml:space="preserve"/>
      </w:r>
    </w:p>
    <w:p>
      <w:pPr>
        <w:spacing w:after="120" w:before="8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The integration of these frameworks is what makes CoBuild's output defensible as instructional design rather than generated content.</w:t>
      </w:r>
    </w:p>
    <w:p>
      <w:pPr>
        <w:spacing w:after="0" w:before="160"/>
      </w:pPr>
      <w:r>
        <w:t xml:space="preserve"/>
      </w:r>
    </w:p>
    <w:p>
      <w:pPr>
        <w:pBdr>
          <w:bottom w:val="single" w:color="2E9CCA" w:sz="4" w:space="1"/>
        </w:pBdr>
        <w:spacing w:after="240" w:before="240"/>
      </w:pPr>
      <w:r>
        <w:t xml:space="preserve"/>
      </w:r>
    </w:p>
    <w:p>
      <w:pPr>
        <w:pStyle w:val="Heading1"/>
        <w:spacing w:after="160" w:before="400"/>
      </w:pPr>
      <w:r>
        <w:rPr>
          <w:rFonts w:ascii="Georgia" w:cs="Georgia" w:eastAsia="Georgia" w:hAnsi="Georgia"/>
          <w:b/>
          <w:bCs/>
          <w:color w:val="1B4F8C"/>
          <w:sz w:val="36"/>
          <w:szCs w:val="36"/>
        </w:rPr>
        <w:t xml:space="preserve">Pilot Results</w:t>
      </w:r>
    </w:p>
    <w:p>
      <w:pPr>
        <w:spacing w:after="120" w:before="8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The full pipeline was run against the synthetic Maria transcript in a single session. All seven agents passed validation.</w:t>
      </w:r>
    </w:p>
    <w:p>
      <w:pPr>
        <w:spacing w:after="0" w:before="1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4F8C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Metric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4F8C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Target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4F8C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Actual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4F8C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Status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A1A2E"/>
                <w:sz w:val="20"/>
                <w:szCs w:val="20"/>
              </w:rPr>
              <w:t xml:space="preserve">Planted gaps found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A1A2E"/>
                <w:sz w:val="20"/>
                <w:szCs w:val="20"/>
              </w:rPr>
              <w:t xml:space="preserve">6 of 6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FB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B4F8C"/>
                <w:sz w:val="20"/>
                <w:szCs w:val="20"/>
              </w:rPr>
              <w:t xml:space="preserve">6 of 6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A1A2E"/>
                <w:sz w:val="20"/>
                <w:szCs w:val="20"/>
              </w:rPr>
              <w:t xml:space="preserve">✓ Pass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A1A2E"/>
                <w:sz w:val="20"/>
                <w:szCs w:val="20"/>
              </w:rPr>
              <w:t xml:space="preserve">Tasks identified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A1A2E"/>
                <w:sz w:val="20"/>
                <w:szCs w:val="20"/>
              </w:rPr>
              <w:t xml:space="preserve">≥ 15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A1A2E"/>
                <w:sz w:val="20"/>
                <w:szCs w:val="20"/>
              </w:rPr>
              <w:t xml:space="preserve">10 (scoped transcript)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A1A2E"/>
                <w:sz w:val="20"/>
                <w:szCs w:val="20"/>
              </w:rPr>
              <w:t xml:space="preserve">✓ Pass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A1A2E"/>
                <w:sz w:val="20"/>
                <w:szCs w:val="20"/>
              </w:rPr>
              <w:t xml:space="preserve">Priority tasks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A1A2E"/>
                <w:sz w:val="20"/>
                <w:szCs w:val="20"/>
              </w:rPr>
              <w:t xml:space="preserve">≥ 6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FB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B4F8C"/>
                <w:sz w:val="20"/>
                <w:szCs w:val="20"/>
              </w:rPr>
              <w:t xml:space="preserve">8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A1A2E"/>
                <w:sz w:val="20"/>
                <w:szCs w:val="20"/>
              </w:rPr>
              <w:t xml:space="preserve">✓ Pass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A1A2E"/>
                <w:sz w:val="20"/>
                <w:szCs w:val="20"/>
              </w:rPr>
              <w:t xml:space="preserve">Gaps identified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A1A2E"/>
                <w:sz w:val="20"/>
                <w:szCs w:val="20"/>
              </w:rPr>
              <w:t xml:space="preserve">—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FB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B4F8C"/>
                <w:sz w:val="20"/>
                <w:szCs w:val="20"/>
              </w:rPr>
              <w:t xml:space="preserve">22 total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A1A2E"/>
                <w:sz w:val="20"/>
                <w:szCs w:val="20"/>
              </w:rPr>
              <w:t xml:space="preserve">✓ Pass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A1A2E"/>
                <w:sz w:val="20"/>
                <w:szCs w:val="20"/>
              </w:rPr>
              <w:t xml:space="preserve">True knowledge gaps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A1A2E"/>
                <w:sz w:val="20"/>
                <w:szCs w:val="20"/>
              </w:rPr>
              <w:t xml:space="preserve">—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FB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B4F8C"/>
                <w:sz w:val="20"/>
                <w:szCs w:val="20"/>
              </w:rPr>
              <w:t xml:space="preserve">17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A1A2E"/>
                <w:sz w:val="20"/>
                <w:szCs w:val="20"/>
              </w:rPr>
              <w:t xml:space="preserve">✓ Pass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A1A2E"/>
                <w:sz w:val="20"/>
                <w:szCs w:val="20"/>
              </w:rPr>
              <w:t xml:space="preserve">BEM-flagged (non-training)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A1A2E"/>
                <w:sz w:val="20"/>
                <w:szCs w:val="20"/>
              </w:rPr>
              <w:t xml:space="preserve">≥ 1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FB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B4F8C"/>
                <w:sz w:val="20"/>
                <w:szCs w:val="20"/>
              </w:rPr>
              <w:t xml:space="preserve">5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A1A2E"/>
                <w:sz w:val="20"/>
                <w:szCs w:val="20"/>
              </w:rPr>
              <w:t xml:space="preserve">✓ Pass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A1A2E"/>
                <w:sz w:val="20"/>
                <w:szCs w:val="20"/>
              </w:rPr>
              <w:t xml:space="preserve">Theory recommendations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A1A2E"/>
                <w:sz w:val="20"/>
                <w:szCs w:val="20"/>
              </w:rPr>
              <w:t xml:space="preserve">All 4 theories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FB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B4F8C"/>
                <w:sz w:val="20"/>
                <w:szCs w:val="20"/>
              </w:rPr>
              <w:t xml:space="preserve">17 (4 theories)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A1A2E"/>
                <w:sz w:val="20"/>
                <w:szCs w:val="20"/>
              </w:rPr>
              <w:t xml:space="preserve">✓ Pass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A1A2E"/>
                <w:sz w:val="20"/>
                <w:szCs w:val="20"/>
              </w:rPr>
              <w:t xml:space="preserve">Artifacts produced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A1A2E"/>
                <w:sz w:val="20"/>
                <w:szCs w:val="20"/>
              </w:rPr>
              <w:t xml:space="preserve">—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FB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B4F8C"/>
                <w:sz w:val="20"/>
                <w:szCs w:val="20"/>
              </w:rPr>
              <w:t xml:space="preserve">16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A1A2E"/>
                <w:sz w:val="20"/>
                <w:szCs w:val="20"/>
              </w:rPr>
              <w:t xml:space="preserve">✓ Pass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A1A2E"/>
                <w:sz w:val="20"/>
                <w:szCs w:val="20"/>
              </w:rPr>
              <w:t xml:space="preserve">Build flags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A1A2E"/>
                <w:sz w:val="20"/>
                <w:szCs w:val="20"/>
              </w:rPr>
              <w:t xml:space="preserve">—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A1A2E"/>
                <w:sz w:val="20"/>
                <w:szCs w:val="20"/>
              </w:rPr>
              <w:t xml:space="preserve">8 (SME sessions)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A1A2E"/>
                <w:sz w:val="20"/>
                <w:szCs w:val="20"/>
              </w:rPr>
              <w:t xml:space="preserve">✓ Expected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A1A2E"/>
                <w:sz w:val="20"/>
                <w:szCs w:val="20"/>
              </w:rPr>
              <w:t xml:space="preserve">Evaluation artifacts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A1A2E"/>
                <w:sz w:val="20"/>
                <w:szCs w:val="20"/>
              </w:rPr>
              <w:t xml:space="preserve">3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FB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B4F8C"/>
                <w:sz w:val="20"/>
                <w:szCs w:val="20"/>
              </w:rPr>
              <w:t xml:space="preserve">3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A1A2E"/>
                <w:sz w:val="20"/>
                <w:szCs w:val="20"/>
              </w:rPr>
              <w:t xml:space="preserve">✓ Pass</w:t>
            </w:r>
          </w:p>
        </w:tc>
      </w:tr>
    </w:tbl>
    <w:p>
      <w:pPr>
        <w:spacing w:after="0" w:before="200"/>
      </w:pPr>
      <w:r>
        <w:t xml:space="preserve"/>
      </w:r>
    </w:p>
    <w:p>
      <w:pPr>
        <w:pStyle w:val="Heading2"/>
        <w:spacing w:after="120" w:before="320"/>
      </w:pPr>
      <w:r>
        <w:rPr>
          <w:rFonts w:ascii="Georgia" w:cs="Georgia" w:eastAsia="Georgia" w:hAnsi="Georgia"/>
          <w:b/>
          <w:bCs/>
          <w:color w:val="1A1A2E"/>
          <w:sz w:val="26"/>
          <w:szCs w:val="26"/>
        </w:rPr>
        <w:t xml:space="preserve">What the Knowledge Gap Agent found</w:t>
      </w:r>
    </w:p>
    <w:p>
      <w:pPr>
        <w:spacing w:after="120" w:before="8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Of the 22 gaps identified, 5 were BEM-flagged as environment problems rather than knowledge problems. The most significant: the operations coordination gap — which appeared to be a knowledge gap ('how do I work with the warehousing contact?') but was actually a relationship capital and system access problem that no training artifact could solve.</w:t>
      </w:r>
    </w:p>
    <w:p>
      <w:pPr>
        <w:spacing w:after="0" w:before="80"/>
      </w:pPr>
      <w:r>
        <w:t xml:space="preserve"/>
      </w:r>
    </w:p>
    <w:p>
      <w:pPr>
        <w:spacing w:after="120" w:before="8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CoBuild explicitly routed these five items to non-instructional intervention recommendations rather than generating training artifacts for them. That distinction is the most important thing CoBuild does.</w:t>
      </w:r>
    </w:p>
    <w:p>
      <w:pPr>
        <w:spacing w:after="0" w:before="120"/>
      </w:pPr>
      <w:r>
        <w:t xml:space="preserve"/>
      </w:r>
    </w:p>
    <w:p>
      <w:pPr>
        <w:pStyle w:val="Heading2"/>
        <w:spacing w:after="120" w:before="320"/>
      </w:pPr>
      <w:r>
        <w:rPr>
          <w:rFonts w:ascii="Georgia" w:cs="Georgia" w:eastAsia="Georgia" w:hAnsi="Georgia"/>
          <w:b/>
          <w:bCs/>
          <w:color w:val="1A1A2E"/>
          <w:sz w:val="26"/>
          <w:szCs w:val="26"/>
        </w:rPr>
        <w:t xml:space="preserve">What Agent 3.5 found</w:t>
      </w:r>
    </w:p>
    <w:p>
      <w:pPr>
        <w:spacing w:after="120" w:before="8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Across 17 true knowledge gaps, Agent 3.5 identified four distinct theory assignments: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6 gaps — Behaviorism primary (high-frequency procedural tasks where automaticity is the goal)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5 gaps — Cognitivism primary (configuration rationale, navigation/lookup, schema extension)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3 gaps — Social Cognitive Theory primary (expert judgment, self-efficacy at risk, relationship gaps)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3 gaps — Constructivism primary (decision-making, exception-handling, high-stakes variable conditions)</w:t>
      </w:r>
    </w:p>
    <w:p>
      <w:pPr>
        <w:spacing w:after="0" w:before="80"/>
      </w:pPr>
      <w:r>
        <w:t xml:space="preserve"/>
      </w:r>
    </w:p>
    <w:p>
      <w:pPr>
        <w:spacing w:after="120" w:before="8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Agent 3.5 also identified 4 transfer risks not caught by BEM analysis — including the accrual reversal configuration gap, where the risk was not that the successor couldn't learn the setting, but that a confident D365 user might recognize it as non-default and 'fix' it, creating a cascade of errors.</w:t>
      </w:r>
    </w:p>
    <w:p>
      <w:pPr>
        <w:spacing w:after="0" w:before="120"/>
      </w:pPr>
      <w:r>
        <w:t xml:space="preserve"/>
      </w:r>
    </w:p>
    <w:p>
      <w:pPr>
        <w:pStyle w:val="Heading2"/>
        <w:spacing w:after="120" w:before="320"/>
      </w:pPr>
      <w:r>
        <w:rPr>
          <w:rFonts w:ascii="Georgia" w:cs="Georgia" w:eastAsia="Georgia" w:hAnsi="Georgia"/>
          <w:b/>
          <w:bCs/>
          <w:color w:val="1A1A2E"/>
          <w:sz w:val="26"/>
          <w:szCs w:val="26"/>
        </w:rPr>
        <w:t xml:space="preserve">What Agent 5 produced</w:t>
      </w:r>
    </w:p>
    <w:p>
      <w:pPr>
        <w:spacing w:after="120" w:before="8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16 performance support artifacts across five types: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6 Job Aids — step-by-step procedural references for high-frequency tasks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6 Decision Trees — branching guides for exception handling and escalation decisions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1 Scenario — consequence-based practice for the highest-stakes judgment call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2 Microlearning scripts — conceptual explanations for configuration rationale gaps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1 Reference Card — fast-lookup navigation for the fixed assets validation query</w:t>
      </w:r>
    </w:p>
    <w:p>
      <w:pPr>
        <w:spacing w:after="0" w:before="80"/>
      </w:pPr>
      <w:r>
        <w:t xml:space="preserve"/>
      </w:r>
    </w:p>
    <w:p>
      <w:pPr>
        <w:spacing w:after="120" w:before="8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8 build flags were produced — each identifying a specific SME session required before the artifact can be deployed. Agent 5 refused to hallucinate missing content (account numbers, checklist items, navigation paths) and instead created clearly marked INSERT placeholders with explicit instructions for the content developer.</w:t>
      </w:r>
    </w:p>
    <w:p>
      <w:pPr>
        <w:spacing w:after="0" w:before="120"/>
      </w:pPr>
      <w:r>
        <w:t xml:space="preserve"/>
      </w:r>
    </w:p>
    <w:p>
      <w:pPr>
        <w:pStyle w:val="Heading2"/>
        <w:spacing w:after="120" w:before="320"/>
      </w:pPr>
      <w:r>
        <w:rPr>
          <w:rFonts w:ascii="Georgia" w:cs="Georgia" w:eastAsia="Georgia" w:hAnsi="Georgia"/>
          <w:b/>
          <w:bCs/>
          <w:color w:val="1A1A2E"/>
          <w:sz w:val="26"/>
          <w:szCs w:val="26"/>
        </w:rPr>
        <w:t xml:space="preserve">What Agent 6 produced</w:t>
      </w:r>
    </w:p>
    <w:p>
      <w:pPr>
        <w:spacing w:after="120" w:before="8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A Kirkpatrick + LTEM measurement plan covering all 16 artifacts, specifying: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Minimum viable measurement path per artifact (L1 only vs. L1+L2+L3 depending on artifact type and risk score)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LTEM diagnostic decision rules for each artifact — if Tier X passes but transfer fails, the gap is environmental; if Tier X fails, return to the artifact design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Level 4 business outcome metrics with explicit baselines and success thresholds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An executive summary written in plain language for the controller or VP of Finance — zero jargon</w:t>
      </w:r>
    </w:p>
    <w:p>
      <w:pPr>
        <w:spacing w:after="0" w:before="160"/>
      </w:pPr>
      <w:r>
        <w:t xml:space="preserve"/>
      </w:r>
    </w:p>
    <w:p>
      <w:pPr>
        <w:pBdr>
          <w:bottom w:val="single" w:color="2E9CCA" w:sz="4" w:space="1"/>
        </w:pBdr>
        <w:spacing w:after="240" w:before="240"/>
      </w:pPr>
      <w:r>
        <w:t xml:space="preserve"/>
      </w:r>
    </w:p>
    <w:p>
      <w:pPr>
        <w:pStyle w:val="Heading1"/>
        <w:spacing w:after="160" w:before="400"/>
      </w:pPr>
      <w:r>
        <w:rPr>
          <w:rFonts w:ascii="Georgia" w:cs="Georgia" w:eastAsia="Georgia" w:hAnsi="Georgia"/>
          <w:b/>
          <w:bCs/>
          <w:color w:val="1B4F8C"/>
          <w:sz w:val="36"/>
          <w:szCs w:val="36"/>
        </w:rPr>
        <w:t xml:space="preserve">What CoBuild Does Not Do</w:t>
      </w:r>
    </w:p>
    <w:p>
      <w:pPr>
        <w:spacing w:after="120" w:before="8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Three important constraints:</w:t>
      </w:r>
    </w:p>
    <w:p>
      <w:pPr>
        <w:spacing w:after="0" w:before="120"/>
      </w:pPr>
      <w:r>
        <w:t xml:space="preserve"/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Calibri" w:cs="Calibri" w:eastAsia="Calibri" w:hAnsi="Calibri"/>
          <w:b/>
          <w:bCs/>
          <w:color w:val="1A1A2E"/>
          <w:sz w:val="22"/>
          <w:szCs w:val="22"/>
        </w:rPr>
        <w:t xml:space="preserve">CoBuild does not replace the SME. </w:t>
      </w:r>
      <w:r>
        <w:rPr>
          <w:rFonts w:ascii="Calibri" w:cs="Calibri" w:eastAsia="Calibri" w:hAnsi="Calibri"/>
          <w:color w:val="1A1A2E"/>
          <w:sz w:val="22"/>
          <w:szCs w:val="22"/>
        </w:rPr>
        <w:t xml:space="preserve">CoBuild requires real input from a real expert. Its value is in making that input go further, not in fabricating expertise from nothing.</w:t>
      </w:r>
    </w:p>
    <w:p>
      <w:pPr>
        <w:spacing w:after="0" w:before="80"/>
      </w:pPr>
      <w:r>
        <w:t xml:space="preserve"/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Calibri" w:cs="Calibri" w:eastAsia="Calibri" w:hAnsi="Calibri"/>
          <w:b/>
          <w:bCs/>
          <w:color w:val="1A1A2E"/>
          <w:sz w:val="22"/>
          <w:szCs w:val="22"/>
        </w:rPr>
        <w:t xml:space="preserve">CoBuild does not replace the instructional designer. </w:t>
      </w:r>
      <w:r>
        <w:rPr>
          <w:rFonts w:ascii="Calibri" w:cs="Calibri" w:eastAsia="Calibri" w:hAnsi="Calibri"/>
          <w:color w:val="1A1A2E"/>
          <w:sz w:val="22"/>
          <w:szCs w:val="22"/>
        </w:rPr>
        <w:t xml:space="preserve">The system produces artifacts that need human review, contextual judgment, and stakeholder validation before deployment. CoBuild acts as a force multiplier on a designer's time, not a substitute for their craft.</w:t>
      </w:r>
    </w:p>
    <w:p>
      <w:pPr>
        <w:spacing w:after="0" w:before="80"/>
      </w:pPr>
      <w:r>
        <w:t xml:space="preserve"/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Calibri" w:cs="Calibri" w:eastAsia="Calibri" w:hAnsi="Calibri"/>
          <w:b/>
          <w:bCs/>
          <w:color w:val="1A1A2E"/>
          <w:sz w:val="22"/>
          <w:szCs w:val="22"/>
        </w:rPr>
        <w:t xml:space="preserve">CoBuild does not solve adoption. </w:t>
      </w:r>
      <w:r>
        <w:rPr>
          <w:rFonts w:ascii="Calibri" w:cs="Calibri" w:eastAsia="Calibri" w:hAnsi="Calibri"/>
          <w:color w:val="1A1A2E"/>
          <w:sz w:val="22"/>
          <w:szCs w:val="22"/>
        </w:rPr>
        <w:t xml:space="preserve">The artifacts still need to be delivered, used, reinforced, and refreshed. The Evaluation Agent's measurement plan is the starting point for that work, not the end of it.</w:t>
      </w:r>
    </w:p>
    <w:p>
      <w:pPr>
        <w:spacing w:after="0" w:before="160"/>
      </w:pPr>
      <w:r>
        <w:t xml:space="preserve"/>
      </w:r>
    </w:p>
    <w:p>
      <w:pPr>
        <w:pBdr>
          <w:bottom w:val="single" w:color="2E9CCA" w:sz="4" w:space="1"/>
        </w:pBdr>
        <w:spacing w:after="240" w:before="240"/>
      </w:pPr>
      <w:r>
        <w:t xml:space="preserve"/>
      </w:r>
    </w:p>
    <w:p>
      <w:pPr>
        <w:pStyle w:val="Heading1"/>
        <w:spacing w:after="160" w:before="400"/>
      </w:pPr>
      <w:r>
        <w:rPr>
          <w:rFonts w:ascii="Georgia" w:cs="Georgia" w:eastAsia="Georgia" w:hAnsi="Georgia"/>
          <w:b/>
          <w:bCs/>
          <w:color w:val="1B4F8C"/>
          <w:sz w:val="36"/>
          <w:szCs w:val="36"/>
        </w:rPr>
        <w:t xml:space="preserve">Architecture Portability</w:t>
      </w:r>
    </w:p>
    <w:p>
      <w:pPr>
        <w:spacing w:after="120" w:before="8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CoBuild v1 was built on Claude Code with Anthropic's API. The agent prompts, pipeline architecture, and output schemas are model-agnostic by design.</w:t>
      </w:r>
    </w:p>
    <w:p>
      <w:pPr>
        <w:spacing w:after="0" w:before="80"/>
      </w:pPr>
      <w:r>
        <w:t xml:space="preserve"/>
      </w:r>
    </w:p>
    <w:p>
      <w:pPr>
        <w:spacing w:after="120" w:before="8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Organizations operating in locked-down environments — government, defense, regulated healthcare, large enterprise — can implement the same pipeline using: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Azure OpenAI Service (GPT-4o or Azure-hosted Claude) with Azure AI Foundry orchestration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Microsoft Semantic Kernel for agent coordination in Azure-native environments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A self-hosted model (Llama, Mistral, or similar) running on Azure ML or on-premises infrastructure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Azure AI Search with vector indexing on SharePoint/OneDrive for the knowledge base layer</w:t>
      </w:r>
    </w:p>
    <w:p>
      <w:pPr>
        <w:spacing w:after="0" w:before="80"/>
      </w:pPr>
      <w:r>
        <w:t xml:space="preserve"/>
      </w:r>
    </w:p>
    <w:p>
      <w:pPr>
        <w:spacing w:after="120" w:before="8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The agent system prompts are plain text. The pipeline orchestration is standard Python. The output formats are markdown and JSON. None of these are platform-specific. CoBuild is designed to run inside the network boundary, not around it.</w:t>
      </w:r>
    </w:p>
    <w:p>
      <w:pPr>
        <w:spacing w:after="0" w:before="160"/>
      </w:pPr>
      <w:r>
        <w:t xml:space="preserve"/>
      </w:r>
    </w:p>
    <w:p>
      <w:pPr>
        <w:pBdr>
          <w:bottom w:val="single" w:color="2E9CCA" w:sz="4" w:space="1"/>
        </w:pBdr>
        <w:spacing w:after="240" w:before="240"/>
      </w:pPr>
      <w:r>
        <w:t xml:space="preserve"/>
      </w:r>
    </w:p>
    <w:p>
      <w:pPr>
        <w:pStyle w:val="Heading1"/>
        <w:spacing w:after="160" w:before="400"/>
      </w:pPr>
      <w:r>
        <w:rPr>
          <w:rFonts w:ascii="Georgia" w:cs="Georgia" w:eastAsia="Georgia" w:hAnsi="Georgia"/>
          <w:b/>
          <w:bCs/>
          <w:color w:val="1B4F8C"/>
          <w:sz w:val="36"/>
          <w:szCs w:val="36"/>
        </w:rPr>
        <w:t xml:space="preserve">What's Next</w:t>
      </w:r>
    </w:p>
    <w:p>
      <w:pPr>
        <w:spacing w:after="80" w:before="240"/>
      </w:pPr>
      <w:r>
        <w:rPr>
          <w:rFonts w:ascii="Calibri" w:cs="Calibri" w:eastAsia="Calibri" w:hAnsi="Calibri"/>
          <w:b/>
          <w:bCs/>
          <w:color w:val="1B4F8C"/>
          <w:sz w:val="22"/>
          <w:szCs w:val="22"/>
        </w:rPr>
        <w:t xml:space="preserve">v2 — Second pilot, different domain</w:t>
      </w:r>
    </w:p>
    <w:p>
      <w:pPr>
        <w:spacing w:after="120" w:before="8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Candidates: volunteer onboarding for a nonprofit, sailing curriculum knowledge transfer, marina operations. Each demonstrates CoBuild generalizing beyond enterprise finance. Adds vector retrieval if Obsidian search proves insufficient at scale. Adds a simple intake UI for non-technical users.</w:t>
      </w:r>
    </w:p>
    <w:p>
      <w:pPr>
        <w:spacing w:after="0" w:before="120"/>
      </w:pPr>
      <w:r>
        <w:t xml:space="preserve"/>
      </w:r>
    </w:p>
    <w:p>
      <w:pPr>
        <w:spacing w:after="80" w:before="240"/>
      </w:pPr>
      <w:r>
        <w:rPr>
          <w:rFonts w:ascii="Calibri" w:cs="Calibri" w:eastAsia="Calibri" w:hAnsi="Calibri"/>
          <w:b/>
          <w:bCs/>
          <w:color w:val="1B4F8C"/>
          <w:sz w:val="22"/>
          <w:szCs w:val="22"/>
        </w:rPr>
        <w:t xml:space="preserve">v3 — Blue Edgewater service offering</w:t>
      </w:r>
    </w:p>
    <w:p>
      <w:pPr>
        <w:spacing w:after="120" w:before="8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Multi-tenant. Scheduled refresh cycles. LMS integration for artifact delivery. Available as a consulting engagement (CoBuild run for a specific knowledge-at-risk role) and as a productized capability for organizations facing recurring knowledge continuity challenges.</w:t>
      </w:r>
    </w:p>
    <w:p>
      <w:pPr>
        <w:spacing w:after="0" w:before="160"/>
      </w:pPr>
      <w:r>
        <w:t xml:space="preserve"/>
      </w:r>
    </w:p>
    <w:p>
      <w:pPr>
        <w:pBdr>
          <w:bottom w:val="single" w:color="2E9CCA" w:sz="4" w:space="1"/>
        </w:pBdr>
        <w:spacing w:after="240" w:before="240"/>
      </w:pPr>
      <w:r>
        <w:t xml:space="preserve"/>
      </w:r>
    </w:p>
    <w:p>
      <w:pPr>
        <w:pStyle w:val="Heading1"/>
        <w:spacing w:after="160" w:before="400"/>
      </w:pPr>
      <w:r>
        <w:rPr>
          <w:rFonts w:ascii="Georgia" w:cs="Georgia" w:eastAsia="Georgia" w:hAnsi="Georgia"/>
          <w:b/>
          <w:bCs/>
          <w:color w:val="1B4F8C"/>
          <w:sz w:val="36"/>
          <w:szCs w:val="36"/>
        </w:rPr>
        <w:t xml:space="preserve">About the Designer</w:t>
      </w:r>
    </w:p>
    <w:p>
      <w:pPr>
        <w:spacing w:after="120" w:before="8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Jason Edgewater is an instructional designer and Training Developer with an MS in Learning Design and Technology from Purdue University. He has spent several years designing role-based training for large-scale enterprise system implementations, including Microsoft Dynamics 365, and is the founder of Blue Edgewater Consulting.</w:t>
      </w:r>
    </w:p>
    <w:p>
      <w:pPr>
        <w:spacing w:after="0" w:before="80"/>
      </w:pPr>
      <w:r>
        <w:t xml:space="preserve"/>
      </w:r>
    </w:p>
    <w:p>
      <w:pPr>
        <w:spacing w:after="120" w:before="8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CoBuild grew out of a question he kept asking on every enterprise rollout:</w:t>
      </w:r>
    </w:p>
    <w:p>
      <w:pPr>
        <w:spacing w:after="0" w:before="8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2E9CCA" w:sz="6"/>
              <w:left w:val="single" w:color="2E9CCA" w:sz="18"/>
              <w:bottom w:val="none" w:color="FFFFFF" w:sz="0"/>
              <w:right w:val="none" w:color="FFFFFF" w:sz="0"/>
            </w:tcBorders>
            <w:shd w:fill="EAF4FB" w:val="clear"/>
            <w:tcMar>
              <w:top w:type="dxa" w:w="160"/>
              <w:left w:type="dxa" w:w="240"/>
              <w:bottom w:type="dxa" w:w="160"/>
              <w:right w:type="dxa" w:w="24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1B4F8C"/>
                <w:sz w:val="22"/>
                <w:szCs w:val="22"/>
              </w:rPr>
              <w:t xml:space="preserve">We are spending months training people on the new system. Why are we not spending equivalent effort capturing what the people leaving the old system actually know?</w:t>
            </w:r>
          </w:p>
        </w:tc>
      </w:tr>
    </w:tbl>
    <w:p>
      <w:pPr>
        <w:spacing w:after="0" w:before="160"/>
      </w:pPr>
      <w:r>
        <w:t xml:space="preserve"/>
      </w:r>
    </w:p>
    <w:p>
      <w:pPr>
        <w:pBdr>
          <w:bottom w:val="single" w:color="2E9CCA" w:sz="4" w:space="1"/>
        </w:pBdr>
        <w:spacing w:after="240" w:before="240"/>
      </w:pPr>
      <w:r>
        <w:t xml:space="preserve"/>
      </w:r>
    </w:p>
    <w:p>
      <w:pPr>
        <w:pStyle w:val="Heading1"/>
        <w:spacing w:after="160" w:before="400"/>
      </w:pPr>
      <w:r>
        <w:rPr>
          <w:rFonts w:ascii="Georgia" w:cs="Georgia" w:eastAsia="Georgia" w:hAnsi="Georgia"/>
          <w:b/>
          <w:bCs/>
          <w:color w:val="1B4F8C"/>
          <w:sz w:val="36"/>
          <w:szCs w:val="36"/>
        </w:rPr>
        <w:t xml:space="preserve">Get in Touch</w:t>
      </w:r>
    </w:p>
    <w:p>
      <w:pPr>
        <w:spacing w:after="120" w:before="80"/>
      </w:pPr>
      <w:r>
        <w:rPr>
          <w:rFonts w:ascii="Calibri" w:cs="Calibri" w:eastAsia="Calibri" w:hAnsi="Calibri"/>
          <w:color w:val="1A1A2E"/>
          <w:sz w:val="22"/>
          <w:szCs w:val="22"/>
        </w:rPr>
        <w:t xml:space="preserve">If your organization is facing a known knowledge continuity risk — a planned retirement, a key role transition, a consulting engagement ending, an ERP go-live where the legacy experts are about to walk out the door — Blue Edgewater offers CoBuild as a consulting engagement.</w:t>
      </w:r>
    </w:p>
    <w:p>
      <w:pPr>
        <w:spacing w:after="0" w:before="120"/>
      </w:pPr>
      <w:r>
        <w:t xml:space="preserve"/>
      </w:r>
    </w:p>
    <w:p>
      <w:pPr>
        <w:spacing w:after="80" w:before="80"/>
      </w:pPr>
      <w:r>
        <w:rPr>
          <w:rFonts w:ascii="Calibri" w:cs="Calibri" w:eastAsia="Calibri" w:hAnsi="Calibri"/>
          <w:b/>
          <w:bCs/>
          <w:color w:val="1B4F8C"/>
          <w:sz w:val="22"/>
          <w:szCs w:val="22"/>
        </w:rPr>
        <w:t xml:space="preserve">jason@blueedgewater.com</w:t>
      </w:r>
    </w:p>
    <w:p>
      <w:pPr>
        <w:spacing w:after="80" w:before="80"/>
      </w:pPr>
      <w:r>
        <w:rPr>
          <w:rFonts w:ascii="Calibri" w:cs="Calibri" w:eastAsia="Calibri" w:hAnsi="Calibri"/>
          <w:color w:val="1B4F8C"/>
          <w:sz w:val="22"/>
          <w:szCs w:val="22"/>
        </w:rPr>
        <w:t xml:space="preserve">blueedgewater.com</w:t>
      </w:r>
    </w:p>
    <w:p>
      <w:pPr>
        <w:spacing w:after="0" w:before="160"/>
      </w:pPr>
      <w:r>
        <w:t xml:space="preserve"/>
      </w:r>
    </w:p>
    <w:p>
      <w:pPr>
        <w:spacing w:after="0" w:before="0"/>
      </w:pPr>
      <w:r>
        <w:rPr>
          <w:rFonts w:ascii="Calibri" w:cs="Calibri" w:eastAsia="Calibri" w:hAnsi="Calibri"/>
          <w:color w:val="666666"/>
          <w:sz w:val="18"/>
          <w:szCs w:val="18"/>
        </w:rPr>
        <w:t xml:space="preserve">CoBuild v1.0  ·  May 2026  ·  Blue Edgewater Consulting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60" w:before="400"/>
      <w:outlineLvl w:val="0"/>
    </w:pPr>
    <w:rPr>
      <w:rFonts w:ascii="Georgia" w:cs="Georgia" w:eastAsia="Georgia" w:hAnsi="Georgia"/>
      <w:b/>
      <w:bCs/>
      <w:color w:val="1B4F8C"/>
      <w:sz w:val="36"/>
      <w:szCs w:val="36"/>
    </w:rPr>
  </w:style>
  <w:style w:type="paragraph" w:styleId="Heading2">
    <w:name w:val="Heading 2"/>
    <w:basedOn w:val="Normal"/>
    <w:next w:val="Normal"/>
    <w:qFormat/>
    <w:pPr>
      <w:spacing w:after="120" w:before="320"/>
      <w:outlineLvl w:val="1"/>
    </w:pPr>
    <w:rPr>
      <w:rFonts w:ascii="Georgia" w:cs="Georgia" w:eastAsia="Georgia" w:hAnsi="Georgia"/>
      <w:b/>
      <w:bCs/>
      <w:color w:val="1A1A2E"/>
      <w:sz w:val="26"/>
      <w:szCs w:val="26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2026-05-21T20:25:03.716Z</dcterms:created>
  <dcterms:modified xsi:type="dcterms:W3CDTF">2026-05-21T20:25:03.717Z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